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rPr>
          <w:rFonts w:hint="eastAsia" w:ascii="宋体" w:hAnsi="宋体"/>
          <w:color w:val="auto"/>
        </w:rPr>
      </w:pPr>
      <w:bookmarkStart w:id="0" w:name="_Toc518309636"/>
    </w:p>
    <w:p>
      <w:pPr>
        <w:pStyle w:val="2"/>
        <w:rPr>
          <w:rFonts w:hint="eastAsia" w:ascii="宋体" w:hAnsi="宋体"/>
          <w:color w:val="auto"/>
        </w:rPr>
      </w:pPr>
    </w:p>
    <w:p>
      <w:pPr>
        <w:pStyle w:val="2"/>
        <w:rPr>
          <w:rFonts w:hint="eastAsia" w:ascii="宋体" w:hAnsi="宋体"/>
          <w:color w:val="auto"/>
        </w:rPr>
      </w:pPr>
    </w:p>
    <w:p>
      <w:pPr>
        <w:pStyle w:val="2"/>
        <w:rPr>
          <w:rFonts w:hint="eastAsia" w:ascii="宋体" w:hAnsi="宋体"/>
          <w:color w:val="auto"/>
        </w:rPr>
      </w:pPr>
    </w:p>
    <w:p>
      <w:pPr>
        <w:pStyle w:val="2"/>
        <w:rPr>
          <w:rFonts w:hint="eastAsia" w:ascii="宋体" w:hAnsi="宋体"/>
          <w:color w:val="auto"/>
        </w:rPr>
      </w:pPr>
    </w:p>
    <w:p>
      <w:pPr>
        <w:pStyle w:val="2"/>
        <w:rPr>
          <w:rFonts w:ascii="宋体"/>
          <w:color w:val="auto"/>
        </w:rPr>
      </w:pPr>
      <w:bookmarkStart w:id="285" w:name="_GoBack"/>
      <w:bookmarkEnd w:id="285"/>
      <w:r>
        <w:rPr>
          <w:rFonts w:hint="eastAsia" w:ascii="宋体" w:hAnsi="宋体"/>
          <w:color w:val="auto"/>
        </w:rPr>
        <w:t>第三部分</w:t>
      </w:r>
      <w:r>
        <w:rPr>
          <w:rFonts w:ascii="宋体" w:hAnsi="宋体"/>
          <w:color w:val="auto"/>
        </w:rPr>
        <w:t xml:space="preserve">  </w:t>
      </w:r>
      <w:r>
        <w:rPr>
          <w:rFonts w:hint="eastAsia" w:ascii="宋体" w:hAnsi="宋体"/>
          <w:color w:val="auto"/>
        </w:rPr>
        <w:t>用户需求书</w:t>
      </w:r>
      <w:bookmarkEnd w:id="0"/>
    </w:p>
    <w:p>
      <w:pPr>
        <w:jc w:val="center"/>
        <w:rPr>
          <w:rFonts w:ascii="宋体"/>
          <w:b/>
          <w:color w:val="auto"/>
          <w:sz w:val="28"/>
          <w:szCs w:val="28"/>
        </w:rPr>
      </w:pPr>
      <w:r>
        <w:rPr>
          <w:rFonts w:hint="eastAsia" w:ascii="宋体" w:hAnsi="宋体"/>
          <w:b/>
          <w:color w:val="auto"/>
          <w:sz w:val="28"/>
          <w:szCs w:val="28"/>
        </w:rPr>
        <w:br w:type="page"/>
      </w:r>
      <w:r>
        <w:rPr>
          <w:rFonts w:hint="eastAsia" w:ascii="宋体" w:hAnsi="宋体"/>
          <w:b/>
          <w:color w:val="auto"/>
          <w:sz w:val="28"/>
          <w:szCs w:val="28"/>
        </w:rPr>
        <w:t>用户需求书</w:t>
      </w:r>
    </w:p>
    <w:p>
      <w:pPr>
        <w:spacing w:line="420" w:lineRule="atLeast"/>
        <w:jc w:val="center"/>
        <w:rPr>
          <w:rFonts w:ascii="宋体"/>
          <w:b/>
          <w:color w:val="auto"/>
          <w:sz w:val="28"/>
          <w:szCs w:val="28"/>
        </w:rPr>
      </w:pPr>
      <w:r>
        <w:rPr>
          <w:rFonts w:hint="eastAsia" w:ascii="宋体" w:hAnsi="宋体"/>
          <w:b/>
          <w:color w:val="auto"/>
          <w:sz w:val="28"/>
          <w:szCs w:val="28"/>
        </w:rPr>
        <w:t>第一部分</w:t>
      </w:r>
      <w:r>
        <w:rPr>
          <w:rFonts w:ascii="宋体" w:hAnsi="宋体"/>
          <w:b/>
          <w:color w:val="auto"/>
          <w:sz w:val="28"/>
          <w:szCs w:val="28"/>
        </w:rPr>
        <w:t xml:space="preserve"> </w:t>
      </w:r>
      <w:r>
        <w:rPr>
          <w:rFonts w:hint="eastAsia" w:ascii="宋体" w:hAnsi="宋体"/>
          <w:b/>
          <w:color w:val="auto"/>
          <w:sz w:val="28"/>
          <w:szCs w:val="28"/>
        </w:rPr>
        <w:t>商务需求书</w:t>
      </w:r>
    </w:p>
    <w:tbl>
      <w:tblPr>
        <w:tblStyle w:val="7"/>
        <w:tblW w:w="8931"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34"/>
        <w:gridCol w:w="1559"/>
        <w:gridCol w:w="66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tcBorders>
              <w:top w:val="single" w:color="auto" w:sz="12" w:space="0"/>
            </w:tcBorders>
            <w:vAlign w:val="center"/>
          </w:tcPr>
          <w:p>
            <w:pPr>
              <w:spacing w:line="360" w:lineRule="exact"/>
              <w:jc w:val="center"/>
              <w:rPr>
                <w:rFonts w:ascii="宋体"/>
                <w:color w:val="auto"/>
                <w:sz w:val="22"/>
                <w:szCs w:val="22"/>
              </w:rPr>
            </w:pPr>
            <w:r>
              <w:rPr>
                <w:rFonts w:hint="eastAsia" w:ascii="宋体" w:hAnsi="宋体"/>
                <w:color w:val="auto"/>
                <w:sz w:val="22"/>
                <w:szCs w:val="22"/>
              </w:rPr>
              <w:t>序号</w:t>
            </w:r>
          </w:p>
        </w:tc>
        <w:tc>
          <w:tcPr>
            <w:tcW w:w="1559" w:type="dxa"/>
            <w:tcBorders>
              <w:top w:val="single" w:color="auto" w:sz="12" w:space="0"/>
            </w:tcBorders>
            <w:vAlign w:val="center"/>
          </w:tcPr>
          <w:p>
            <w:pPr>
              <w:spacing w:line="360" w:lineRule="exact"/>
              <w:jc w:val="center"/>
              <w:rPr>
                <w:rFonts w:ascii="宋体"/>
                <w:color w:val="auto"/>
                <w:sz w:val="22"/>
                <w:szCs w:val="22"/>
              </w:rPr>
            </w:pPr>
            <w:r>
              <w:rPr>
                <w:rFonts w:hint="eastAsia" w:ascii="宋体" w:hAnsi="宋体"/>
                <w:color w:val="auto"/>
                <w:sz w:val="22"/>
                <w:szCs w:val="22"/>
              </w:rPr>
              <w:t>条款名称</w:t>
            </w:r>
          </w:p>
        </w:tc>
        <w:tc>
          <w:tcPr>
            <w:tcW w:w="6638" w:type="dxa"/>
            <w:tcBorders>
              <w:top w:val="single" w:color="auto" w:sz="12" w:space="0"/>
            </w:tcBorders>
            <w:vAlign w:val="center"/>
          </w:tcPr>
          <w:p>
            <w:pPr>
              <w:spacing w:line="360" w:lineRule="exact"/>
              <w:jc w:val="center"/>
              <w:rPr>
                <w:rFonts w:ascii="宋体"/>
                <w:color w:val="auto"/>
                <w:sz w:val="22"/>
                <w:szCs w:val="22"/>
              </w:rPr>
            </w:pPr>
            <w:r>
              <w:rPr>
                <w:rFonts w:hint="eastAsia" w:ascii="宋体" w:hAnsi="宋体"/>
                <w:color w:val="auto"/>
                <w:sz w:val="22"/>
                <w:szCs w:val="22"/>
              </w:rPr>
              <w:t>说</w:t>
            </w:r>
            <w:r>
              <w:rPr>
                <w:rFonts w:ascii="宋体" w:hAnsi="宋体"/>
                <w:color w:val="auto"/>
                <w:sz w:val="22"/>
                <w:szCs w:val="22"/>
              </w:rPr>
              <w:t xml:space="preserve">  </w:t>
            </w:r>
            <w:r>
              <w:rPr>
                <w:rFonts w:hint="eastAsia" w:ascii="宋体" w:hAnsi="宋体"/>
                <w:color w:val="auto"/>
                <w:sz w:val="22"/>
                <w:szCs w:val="22"/>
              </w:rPr>
              <w:t>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vAlign w:val="center"/>
          </w:tcPr>
          <w:p>
            <w:pPr>
              <w:spacing w:line="360" w:lineRule="exact"/>
              <w:jc w:val="center"/>
              <w:rPr>
                <w:rFonts w:ascii="宋体" w:hAnsi="宋体"/>
                <w:color w:val="auto"/>
                <w:sz w:val="22"/>
                <w:szCs w:val="22"/>
              </w:rPr>
            </w:pPr>
            <w:r>
              <w:rPr>
                <w:rFonts w:ascii="宋体" w:hAnsi="宋体"/>
                <w:color w:val="auto"/>
                <w:sz w:val="22"/>
                <w:szCs w:val="22"/>
              </w:rPr>
              <w:t>1</w:t>
            </w:r>
          </w:p>
        </w:tc>
        <w:tc>
          <w:tcPr>
            <w:tcW w:w="1559" w:type="dxa"/>
            <w:vAlign w:val="center"/>
          </w:tcPr>
          <w:p>
            <w:pPr>
              <w:spacing w:line="360" w:lineRule="exact"/>
              <w:rPr>
                <w:rFonts w:ascii="宋体"/>
                <w:color w:val="auto"/>
                <w:sz w:val="22"/>
                <w:szCs w:val="22"/>
              </w:rPr>
            </w:pPr>
            <w:r>
              <w:rPr>
                <w:rFonts w:hint="eastAsia" w:ascii="宋体" w:hAnsi="宋体"/>
                <w:color w:val="auto"/>
                <w:sz w:val="22"/>
                <w:szCs w:val="22"/>
              </w:rPr>
              <w:t>投标人资格要求</w:t>
            </w:r>
          </w:p>
        </w:tc>
        <w:tc>
          <w:tcPr>
            <w:tcW w:w="6638" w:type="dxa"/>
            <w:vAlign w:val="center"/>
          </w:tcPr>
          <w:p>
            <w:pPr>
              <w:spacing w:line="360" w:lineRule="exact"/>
              <w:rPr>
                <w:rFonts w:ascii="宋体"/>
                <w:color w:val="auto"/>
                <w:sz w:val="22"/>
                <w:szCs w:val="22"/>
              </w:rPr>
            </w:pPr>
            <w:r>
              <w:rPr>
                <w:rFonts w:ascii="宋体" w:hAnsi="宋体"/>
                <w:color w:val="auto"/>
                <w:sz w:val="22"/>
                <w:szCs w:val="22"/>
                <w:lang w:val="zh-CN"/>
              </w:rPr>
              <w:t>1</w:t>
            </w:r>
            <w:r>
              <w:rPr>
                <w:rFonts w:hint="eastAsia" w:ascii="宋体" w:hAnsi="宋体"/>
                <w:color w:val="auto"/>
                <w:sz w:val="22"/>
                <w:szCs w:val="22"/>
                <w:lang w:val="zh-CN"/>
              </w:rPr>
              <w:t>、</w:t>
            </w:r>
            <w:r>
              <w:rPr>
                <w:rFonts w:hint="eastAsia" w:ascii="宋体" w:hAnsi="宋体"/>
                <w:color w:val="auto"/>
                <w:sz w:val="22"/>
                <w:szCs w:val="22"/>
              </w:rPr>
              <w:t>投标人须符合《中华人民共和国政府采购法》第二十二条规定；</w:t>
            </w:r>
          </w:p>
          <w:p>
            <w:pPr>
              <w:spacing w:line="360" w:lineRule="exact"/>
              <w:rPr>
                <w:rFonts w:ascii="宋体"/>
                <w:color w:val="auto"/>
                <w:sz w:val="22"/>
                <w:szCs w:val="22"/>
              </w:rPr>
            </w:pPr>
            <w:r>
              <w:rPr>
                <w:rFonts w:ascii="宋体" w:hAnsi="宋体"/>
                <w:color w:val="auto"/>
                <w:sz w:val="22"/>
                <w:szCs w:val="22"/>
              </w:rPr>
              <w:t>2</w:t>
            </w:r>
            <w:r>
              <w:rPr>
                <w:rFonts w:hint="eastAsia" w:ascii="宋体" w:hAnsi="宋体"/>
                <w:color w:val="auto"/>
                <w:sz w:val="22"/>
                <w:szCs w:val="22"/>
              </w:rPr>
              <w:t>、投标人的单位负责人为同一人或者存在直接控股、管理关系的不同投标人，不得参加同一合同项下的政府采购活动；</w:t>
            </w:r>
          </w:p>
          <w:p>
            <w:pPr>
              <w:spacing w:line="360" w:lineRule="exact"/>
              <w:rPr>
                <w:rFonts w:ascii="宋体"/>
                <w:color w:val="auto"/>
                <w:sz w:val="22"/>
                <w:szCs w:val="22"/>
              </w:rPr>
            </w:pPr>
            <w:r>
              <w:rPr>
                <w:rFonts w:ascii="宋体" w:hAnsi="宋体"/>
                <w:color w:val="auto"/>
                <w:sz w:val="22"/>
                <w:szCs w:val="22"/>
              </w:rPr>
              <w:t>3</w:t>
            </w:r>
            <w:r>
              <w:rPr>
                <w:rFonts w:hint="eastAsia" w:ascii="宋体" w:hAnsi="宋体"/>
                <w:color w:val="auto"/>
                <w:sz w:val="22"/>
                <w:szCs w:val="22"/>
              </w:rPr>
              <w:t>、投标人参加政府采购活动前三年内，在经营活动中没有重大违法记录。（须提供书面声明）。</w:t>
            </w:r>
          </w:p>
          <w:p>
            <w:pPr>
              <w:spacing w:line="360" w:lineRule="exact"/>
              <w:rPr>
                <w:rFonts w:ascii="宋体"/>
                <w:color w:val="auto"/>
                <w:sz w:val="22"/>
                <w:szCs w:val="22"/>
              </w:rPr>
            </w:pPr>
            <w:r>
              <w:rPr>
                <w:rFonts w:ascii="宋体" w:hAnsi="宋体"/>
                <w:color w:val="auto"/>
                <w:sz w:val="22"/>
                <w:szCs w:val="22"/>
              </w:rPr>
              <w:t>4</w:t>
            </w:r>
            <w:r>
              <w:rPr>
                <w:rFonts w:hint="eastAsia" w:ascii="宋体" w:hAnsi="宋体"/>
                <w:color w:val="auto"/>
                <w:sz w:val="22"/>
                <w:szCs w:val="22"/>
              </w:rPr>
              <w:t>、投标人未被列入“信用中国”网站</w:t>
            </w:r>
            <w:r>
              <w:rPr>
                <w:rFonts w:ascii="宋体" w:hAnsi="宋体"/>
                <w:color w:val="auto"/>
                <w:sz w:val="22"/>
                <w:szCs w:val="22"/>
              </w:rPr>
              <w:t>(www.creditchina.gov.cn</w:t>
            </w:r>
            <w:r>
              <w:rPr>
                <w:rFonts w:hint="eastAsia" w:ascii="宋体" w:hAnsi="宋体"/>
                <w:color w:val="auto"/>
                <w:sz w:val="22"/>
                <w:szCs w:val="22"/>
              </w:rPr>
              <w:t>）“记录失信被执行人或重大税收违法案件当事人名单或政府采购严重违法失信行为”记录名单；未处于中国政府采购网</w:t>
            </w:r>
            <w:r>
              <w:rPr>
                <w:rFonts w:ascii="宋体" w:hAnsi="宋体"/>
                <w:color w:val="auto"/>
                <w:sz w:val="22"/>
                <w:szCs w:val="22"/>
              </w:rPr>
              <w:t>(www.ccgp.gov.cn</w:t>
            </w:r>
            <w:r>
              <w:rPr>
                <w:rFonts w:hint="eastAsia" w:ascii="宋体" w:hAnsi="宋体"/>
                <w:color w:val="auto"/>
                <w:sz w:val="22"/>
                <w:szCs w:val="22"/>
              </w:rPr>
              <w:t>）“政府采购严重违法失信行为信息记录”中的禁止参加政府采购活动期间。（以招标代理机构投标截止日当天在“信用中国”网站（</w:t>
            </w:r>
            <w:r>
              <w:rPr>
                <w:rFonts w:ascii="宋体" w:hAnsi="宋体"/>
                <w:color w:val="auto"/>
                <w:sz w:val="22"/>
                <w:szCs w:val="22"/>
              </w:rPr>
              <w:t>www.creditchina.gov.cn</w:t>
            </w:r>
            <w:r>
              <w:rPr>
                <w:rFonts w:hint="eastAsia" w:ascii="宋体" w:hAnsi="宋体"/>
                <w:color w:val="auto"/>
                <w:sz w:val="22"/>
                <w:szCs w:val="22"/>
              </w:rPr>
              <w:t>）及中国政府采购网（</w:t>
            </w:r>
            <w:r>
              <w:rPr>
                <w:rFonts w:ascii="宋体" w:hAnsi="宋体"/>
                <w:color w:val="auto"/>
                <w:sz w:val="22"/>
                <w:szCs w:val="22"/>
              </w:rPr>
              <w:t>www.ccgp.gov.cn</w:t>
            </w:r>
            <w:r>
              <w:rPr>
                <w:rFonts w:hint="eastAsia" w:ascii="宋体" w:hAnsi="宋体"/>
                <w:color w:val="auto"/>
                <w:sz w:val="22"/>
                <w:szCs w:val="22"/>
              </w:rPr>
              <w:t>）查询结果为准，如相关失信记录已失效，投标人需提供相关证明资料）。</w:t>
            </w:r>
          </w:p>
          <w:p>
            <w:pPr>
              <w:spacing w:line="360" w:lineRule="exact"/>
              <w:rPr>
                <w:rFonts w:ascii="宋体"/>
                <w:color w:val="auto"/>
                <w:sz w:val="22"/>
                <w:szCs w:val="22"/>
              </w:rPr>
            </w:pPr>
            <w:r>
              <w:rPr>
                <w:rFonts w:ascii="宋体" w:hAnsi="宋体"/>
                <w:color w:val="auto"/>
                <w:sz w:val="22"/>
                <w:szCs w:val="22"/>
              </w:rPr>
              <w:t>5</w:t>
            </w:r>
            <w:r>
              <w:rPr>
                <w:rFonts w:hint="eastAsia" w:ascii="宋体" w:hAnsi="宋体"/>
                <w:color w:val="auto"/>
                <w:sz w:val="22"/>
                <w:szCs w:val="22"/>
              </w:rPr>
              <w:t>、投标人具有省级或以上人民政府计量行政部门颁发桥梁检测</w:t>
            </w:r>
            <w:r>
              <w:rPr>
                <w:rFonts w:ascii="宋体" w:hAnsi="宋体"/>
                <w:color w:val="auto"/>
                <w:sz w:val="22"/>
                <w:szCs w:val="22"/>
              </w:rPr>
              <w:t>CMA</w:t>
            </w:r>
            <w:r>
              <w:rPr>
                <w:rFonts w:hint="eastAsia" w:ascii="宋体" w:hAnsi="宋体"/>
                <w:color w:val="auto"/>
                <w:sz w:val="22"/>
                <w:szCs w:val="22"/>
              </w:rPr>
              <w:t>认证〔证书附表中须含有桥梁检测类且认证在有效期内〕；</w:t>
            </w:r>
          </w:p>
          <w:p>
            <w:pPr>
              <w:spacing w:line="360" w:lineRule="exact"/>
              <w:rPr>
                <w:rFonts w:ascii="宋体"/>
                <w:color w:val="auto"/>
                <w:sz w:val="22"/>
                <w:szCs w:val="22"/>
              </w:rPr>
            </w:pPr>
            <w:r>
              <w:rPr>
                <w:rFonts w:ascii="宋体" w:hAnsi="宋体"/>
                <w:color w:val="auto"/>
                <w:sz w:val="22"/>
                <w:szCs w:val="22"/>
              </w:rPr>
              <w:t>6</w:t>
            </w:r>
            <w:r>
              <w:rPr>
                <w:rFonts w:hint="eastAsia" w:ascii="宋体" w:hAnsi="宋体"/>
                <w:color w:val="auto"/>
                <w:sz w:val="22"/>
                <w:szCs w:val="22"/>
              </w:rPr>
              <w:t>、投标人具有市级或以上行政部门颁发的市政公用工程施工总承包壹级或特种专业承包（限结构补强）资质；</w:t>
            </w:r>
          </w:p>
          <w:p>
            <w:pPr>
              <w:spacing w:line="360" w:lineRule="exact"/>
              <w:rPr>
                <w:rFonts w:ascii="宋体"/>
                <w:color w:val="auto"/>
                <w:sz w:val="22"/>
                <w:szCs w:val="22"/>
              </w:rPr>
            </w:pPr>
            <w:r>
              <w:rPr>
                <w:rFonts w:ascii="宋体" w:hAnsi="宋体"/>
                <w:color w:val="auto"/>
                <w:sz w:val="22"/>
                <w:szCs w:val="22"/>
              </w:rPr>
              <w:t>7</w:t>
            </w:r>
            <w:r>
              <w:rPr>
                <w:rFonts w:hint="eastAsia" w:ascii="宋体" w:hAnsi="宋体"/>
                <w:color w:val="auto"/>
                <w:sz w:val="22"/>
                <w:szCs w:val="22"/>
              </w:rPr>
              <w:t>、本项目接受联合体投标，如为联合体投标须提供联合体协议。</w:t>
            </w:r>
          </w:p>
          <w:p>
            <w:pPr>
              <w:tabs>
                <w:tab w:val="left" w:pos="502"/>
                <w:tab w:val="left" w:pos="567"/>
              </w:tabs>
              <w:autoSpaceDE w:val="0"/>
              <w:autoSpaceDN w:val="0"/>
              <w:adjustRightInd w:val="0"/>
              <w:spacing w:line="360" w:lineRule="exact"/>
              <w:ind w:right="-34" w:firstLine="330" w:firstLineChars="150"/>
              <w:jc w:val="left"/>
              <w:rPr>
                <w:rFonts w:ascii="宋体"/>
                <w:color w:val="auto"/>
                <w:sz w:val="22"/>
                <w:szCs w:val="22"/>
              </w:rPr>
            </w:pPr>
            <w:r>
              <w:rPr>
                <w:rFonts w:hint="eastAsia" w:ascii="宋体" w:hAnsi="宋体"/>
                <w:color w:val="auto"/>
                <w:sz w:val="22"/>
                <w:szCs w:val="22"/>
              </w:rPr>
              <w:t>投标人如以组成联合体的形式联合投标还应符合下列条款的要求：</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）投标人的投标文件及中标后签署的合同协议书对联合体各方均具法律约束力。</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）联合体各方应签订共同投标协议，明确约定各方拟承担的工作和责任，并将该共同投标协议随投标文件一并提交采购人。</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w:t>
            </w:r>
            <w:r>
              <w:rPr>
                <w:rFonts w:hint="eastAsia" w:ascii="宋体" w:hAnsi="宋体"/>
                <w:bCs/>
                <w:color w:val="auto"/>
                <w:sz w:val="22"/>
                <w:szCs w:val="22"/>
              </w:rPr>
              <w:t>联合体中有同类资质的供应商按照联合体分工承担相同工作的，应当按照资质等级较低的供应商确定资质等级</w:t>
            </w:r>
            <w:r>
              <w:rPr>
                <w:rFonts w:hint="eastAsia" w:ascii="宋体" w:hAnsi="宋体"/>
                <w:color w:val="auto"/>
                <w:sz w:val="22"/>
                <w:szCs w:val="22"/>
              </w:rPr>
              <w:t>。</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）联合体各方不得再以自己的名义单独投标，也不得同时参加两个或两个以上的联合体投标，出现上述情况者，其投标和与此有关的联合体的投标将被拒绝。</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）联合体中标后，联合体各方应当共同与采购人签订合同，为履行合同向采购人承担连带责任。</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）联合体的各方应当共同推荐一名联合体主办人，由联合体各方提交一份授权书。证明其主办人资格，该授权书作为投标文件的组成部分一并提交采购人。</w:t>
            </w:r>
          </w:p>
          <w:p>
            <w:pPr>
              <w:tabs>
                <w:tab w:val="left" w:pos="502"/>
                <w:tab w:val="left" w:pos="567"/>
              </w:tabs>
              <w:autoSpaceDE w:val="0"/>
              <w:autoSpaceDN w:val="0"/>
              <w:adjustRightInd w:val="0"/>
              <w:spacing w:line="360" w:lineRule="exact"/>
              <w:ind w:right="-34" w:firstLine="440" w:firstLineChars="200"/>
              <w:jc w:val="left"/>
              <w:rPr>
                <w:rFonts w:ascii="宋体"/>
                <w:color w:val="auto"/>
                <w:sz w:val="22"/>
                <w:szCs w:val="22"/>
              </w:rPr>
            </w:pPr>
            <w:r>
              <w:rPr>
                <w:rFonts w:hint="eastAsia" w:ascii="宋体" w:hAnsi="宋体"/>
                <w:color w:val="auto"/>
                <w:sz w:val="22"/>
                <w:szCs w:val="22"/>
              </w:rPr>
              <w:t>（</w:t>
            </w:r>
            <w:r>
              <w:rPr>
                <w:rFonts w:ascii="宋体" w:hAnsi="宋体"/>
                <w:color w:val="auto"/>
                <w:sz w:val="22"/>
                <w:szCs w:val="22"/>
              </w:rPr>
              <w:t>7</w:t>
            </w:r>
            <w:r>
              <w:rPr>
                <w:rFonts w:hint="eastAsia" w:ascii="宋体" w:hAnsi="宋体"/>
                <w:color w:val="auto"/>
                <w:sz w:val="22"/>
                <w:szCs w:val="22"/>
              </w:rPr>
              <w:t>）除非另有规定或说明，本须知中“投标人”一词也指联合体各方。</w:t>
            </w:r>
          </w:p>
          <w:p>
            <w:pPr>
              <w:spacing w:line="360" w:lineRule="exact"/>
              <w:rPr>
                <w:rFonts w:ascii="宋体"/>
                <w:color w:val="auto"/>
                <w:sz w:val="22"/>
                <w:szCs w:val="22"/>
              </w:rPr>
            </w:pPr>
            <w:r>
              <w:rPr>
                <w:rFonts w:hint="eastAsia" w:ascii="宋体" w:hAnsi="宋体"/>
                <w:color w:val="auto"/>
                <w:sz w:val="22"/>
                <w:szCs w:val="22"/>
              </w:rPr>
              <w:t>（</w:t>
            </w:r>
            <w:r>
              <w:rPr>
                <w:rFonts w:ascii="宋体" w:hAnsi="宋体"/>
                <w:color w:val="auto"/>
                <w:sz w:val="22"/>
                <w:szCs w:val="22"/>
              </w:rPr>
              <w:t>8</w:t>
            </w:r>
            <w:r>
              <w:rPr>
                <w:rFonts w:hint="eastAsia" w:ascii="宋体" w:hAnsi="宋体"/>
                <w:color w:val="auto"/>
                <w:sz w:val="22"/>
                <w:szCs w:val="22"/>
              </w:rPr>
              <w:t>）投标联合体成员数量不超过两家。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vAlign w:val="center"/>
          </w:tcPr>
          <w:p>
            <w:pPr>
              <w:spacing w:line="360" w:lineRule="exact"/>
              <w:jc w:val="center"/>
              <w:rPr>
                <w:rFonts w:ascii="宋体" w:hAnsi="宋体"/>
                <w:color w:val="auto"/>
                <w:sz w:val="22"/>
                <w:szCs w:val="22"/>
              </w:rPr>
            </w:pPr>
            <w:r>
              <w:rPr>
                <w:rFonts w:ascii="宋体" w:hAnsi="宋体"/>
                <w:color w:val="auto"/>
                <w:sz w:val="22"/>
                <w:szCs w:val="22"/>
              </w:rPr>
              <w:t>2</w:t>
            </w:r>
          </w:p>
        </w:tc>
        <w:tc>
          <w:tcPr>
            <w:tcW w:w="1559" w:type="dxa"/>
            <w:vAlign w:val="center"/>
          </w:tcPr>
          <w:p>
            <w:pPr>
              <w:spacing w:line="360" w:lineRule="exact"/>
              <w:rPr>
                <w:rFonts w:ascii="宋体"/>
                <w:color w:val="auto"/>
                <w:sz w:val="22"/>
                <w:szCs w:val="22"/>
              </w:rPr>
            </w:pPr>
            <w:r>
              <w:rPr>
                <w:rFonts w:hint="eastAsia" w:ascii="宋体" w:hAnsi="宋体"/>
                <w:color w:val="auto"/>
                <w:sz w:val="22"/>
                <w:szCs w:val="22"/>
              </w:rPr>
              <w:t>服务期</w:t>
            </w:r>
          </w:p>
        </w:tc>
        <w:tc>
          <w:tcPr>
            <w:tcW w:w="6638" w:type="dxa"/>
            <w:vAlign w:val="center"/>
          </w:tcPr>
          <w:p>
            <w:pPr>
              <w:spacing w:line="360" w:lineRule="exact"/>
              <w:rPr>
                <w:rFonts w:ascii="宋体"/>
                <w:color w:val="auto"/>
                <w:sz w:val="22"/>
                <w:szCs w:val="22"/>
              </w:rPr>
            </w:pPr>
            <w:r>
              <w:rPr>
                <w:rFonts w:hint="eastAsia" w:ascii="宋体" w:hAnsi="宋体"/>
                <w:color w:val="auto"/>
                <w:sz w:val="22"/>
                <w:szCs w:val="22"/>
              </w:rPr>
              <w:t>合同签订生效之日起三年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vAlign w:val="center"/>
          </w:tcPr>
          <w:p>
            <w:pPr>
              <w:spacing w:line="360" w:lineRule="exact"/>
              <w:jc w:val="center"/>
              <w:rPr>
                <w:rFonts w:ascii="宋体" w:hAnsi="宋体"/>
                <w:color w:val="auto"/>
                <w:sz w:val="22"/>
                <w:szCs w:val="22"/>
              </w:rPr>
            </w:pPr>
            <w:r>
              <w:rPr>
                <w:rFonts w:ascii="宋体" w:hAnsi="宋体"/>
                <w:color w:val="auto"/>
                <w:sz w:val="22"/>
                <w:szCs w:val="22"/>
              </w:rPr>
              <w:t>3</w:t>
            </w:r>
          </w:p>
        </w:tc>
        <w:tc>
          <w:tcPr>
            <w:tcW w:w="1559" w:type="dxa"/>
            <w:vAlign w:val="center"/>
          </w:tcPr>
          <w:p>
            <w:pPr>
              <w:spacing w:line="360" w:lineRule="exact"/>
              <w:rPr>
                <w:rFonts w:ascii="宋体"/>
                <w:color w:val="auto"/>
                <w:sz w:val="22"/>
                <w:szCs w:val="22"/>
              </w:rPr>
            </w:pPr>
            <w:r>
              <w:rPr>
                <w:rFonts w:hint="eastAsia" w:ascii="宋体" w:hAnsi="宋体"/>
                <w:color w:val="auto"/>
                <w:sz w:val="22"/>
                <w:szCs w:val="22"/>
              </w:rPr>
              <w:t>服务地点</w:t>
            </w:r>
          </w:p>
        </w:tc>
        <w:tc>
          <w:tcPr>
            <w:tcW w:w="6638" w:type="dxa"/>
            <w:vAlign w:val="center"/>
          </w:tcPr>
          <w:p>
            <w:pPr>
              <w:spacing w:line="360" w:lineRule="exact"/>
              <w:rPr>
                <w:rFonts w:ascii="宋体"/>
                <w:color w:val="auto"/>
                <w:sz w:val="22"/>
                <w:szCs w:val="22"/>
              </w:rPr>
            </w:pPr>
            <w:r>
              <w:rPr>
                <w:rFonts w:hint="eastAsia" w:ascii="宋体" w:hAnsi="宋体"/>
                <w:color w:val="auto"/>
                <w:sz w:val="22"/>
                <w:szCs w:val="22"/>
              </w:rPr>
              <w:t>采购人指定的地点。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255" w:hRule="atLeast"/>
        </w:trPr>
        <w:tc>
          <w:tcPr>
            <w:tcW w:w="734" w:type="dxa"/>
            <w:tcBorders>
              <w:bottom w:val="single" w:color="auto" w:sz="4" w:space="0"/>
            </w:tcBorders>
            <w:vAlign w:val="center"/>
          </w:tcPr>
          <w:p>
            <w:pPr>
              <w:spacing w:line="360" w:lineRule="exact"/>
              <w:jc w:val="center"/>
              <w:rPr>
                <w:rFonts w:ascii="宋体" w:hAnsi="宋体"/>
                <w:color w:val="auto"/>
                <w:sz w:val="22"/>
                <w:szCs w:val="22"/>
              </w:rPr>
            </w:pPr>
            <w:r>
              <w:rPr>
                <w:rFonts w:ascii="宋体" w:hAnsi="宋体"/>
                <w:color w:val="auto"/>
                <w:sz w:val="22"/>
                <w:szCs w:val="22"/>
              </w:rPr>
              <w:t>4</w:t>
            </w:r>
          </w:p>
        </w:tc>
        <w:tc>
          <w:tcPr>
            <w:tcW w:w="1559" w:type="dxa"/>
            <w:tcBorders>
              <w:bottom w:val="single" w:color="auto" w:sz="4" w:space="0"/>
            </w:tcBorders>
            <w:vAlign w:val="center"/>
          </w:tcPr>
          <w:p>
            <w:pPr>
              <w:spacing w:line="360" w:lineRule="exact"/>
              <w:rPr>
                <w:rFonts w:ascii="宋体"/>
                <w:color w:val="auto"/>
                <w:sz w:val="22"/>
                <w:szCs w:val="22"/>
              </w:rPr>
            </w:pPr>
            <w:r>
              <w:rPr>
                <w:rFonts w:hint="eastAsia" w:ascii="宋体" w:hAnsi="宋体"/>
                <w:color w:val="auto"/>
                <w:sz w:val="22"/>
                <w:szCs w:val="22"/>
              </w:rPr>
              <w:t>质保期</w:t>
            </w:r>
          </w:p>
        </w:tc>
        <w:tc>
          <w:tcPr>
            <w:tcW w:w="6638" w:type="dxa"/>
            <w:tcBorders>
              <w:bottom w:val="single" w:color="auto" w:sz="4" w:space="0"/>
            </w:tcBorders>
            <w:vAlign w:val="center"/>
          </w:tcPr>
          <w:p>
            <w:pPr>
              <w:spacing w:line="360" w:lineRule="exact"/>
              <w:rPr>
                <w:rFonts w:ascii="宋体"/>
                <w:color w:val="auto"/>
                <w:sz w:val="22"/>
                <w:szCs w:val="22"/>
              </w:rPr>
            </w:pPr>
            <w:r>
              <w:rPr>
                <w:rFonts w:hint="eastAsia" w:ascii="宋体" w:hAnsi="宋体"/>
                <w:color w:val="auto"/>
                <w:sz w:val="22"/>
                <w:szCs w:val="22"/>
              </w:rPr>
              <w:t>日常维护项目质保期：验收合格之日起一年。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rPr>
          <w:trHeight w:val="1005" w:hRule="atLeast"/>
        </w:trPr>
        <w:tc>
          <w:tcPr>
            <w:tcW w:w="734" w:type="dxa"/>
            <w:tcBorders>
              <w:top w:val="single" w:color="auto" w:sz="4" w:space="0"/>
            </w:tcBorders>
            <w:vAlign w:val="center"/>
          </w:tcPr>
          <w:p>
            <w:pPr>
              <w:spacing w:line="360" w:lineRule="exact"/>
              <w:jc w:val="center"/>
              <w:rPr>
                <w:rFonts w:ascii="宋体" w:hAnsi="宋体"/>
                <w:color w:val="auto"/>
                <w:sz w:val="22"/>
                <w:szCs w:val="22"/>
              </w:rPr>
            </w:pPr>
            <w:r>
              <w:rPr>
                <w:rFonts w:ascii="宋体" w:hAnsi="宋体"/>
                <w:color w:val="auto"/>
                <w:sz w:val="22"/>
                <w:szCs w:val="22"/>
              </w:rPr>
              <w:t>5</w:t>
            </w:r>
          </w:p>
        </w:tc>
        <w:tc>
          <w:tcPr>
            <w:tcW w:w="1559" w:type="dxa"/>
            <w:tcBorders>
              <w:top w:val="single" w:color="auto" w:sz="4" w:space="0"/>
            </w:tcBorders>
            <w:vAlign w:val="center"/>
          </w:tcPr>
          <w:p>
            <w:pPr>
              <w:spacing w:line="360" w:lineRule="exact"/>
              <w:rPr>
                <w:rFonts w:ascii="宋体"/>
                <w:color w:val="auto"/>
                <w:sz w:val="22"/>
                <w:szCs w:val="22"/>
              </w:rPr>
            </w:pPr>
            <w:r>
              <w:rPr>
                <w:rFonts w:hint="eastAsia" w:ascii="宋体" w:hAnsi="宋体"/>
                <w:color w:val="auto"/>
                <w:sz w:val="22"/>
                <w:szCs w:val="22"/>
              </w:rPr>
              <w:t>付款</w:t>
            </w:r>
          </w:p>
        </w:tc>
        <w:tc>
          <w:tcPr>
            <w:tcW w:w="6638" w:type="dxa"/>
            <w:tcBorders>
              <w:top w:val="single" w:color="auto" w:sz="4" w:space="0"/>
            </w:tcBorders>
            <w:vAlign w:val="center"/>
          </w:tcPr>
          <w:p>
            <w:pPr>
              <w:spacing w:line="360" w:lineRule="exact"/>
              <w:rPr>
                <w:rFonts w:ascii="宋体"/>
                <w:color w:val="auto"/>
                <w:sz w:val="22"/>
                <w:szCs w:val="22"/>
              </w:rPr>
            </w:pPr>
            <w:r>
              <w:rPr>
                <w:rFonts w:ascii="宋体" w:hAnsi="宋体"/>
                <w:color w:val="auto"/>
                <w:sz w:val="22"/>
                <w:szCs w:val="22"/>
              </w:rPr>
              <w:t>1</w:t>
            </w:r>
            <w:r>
              <w:rPr>
                <w:rFonts w:hint="eastAsia" w:ascii="宋体" w:hAnsi="宋体"/>
                <w:color w:val="auto"/>
                <w:sz w:val="22"/>
                <w:szCs w:val="22"/>
              </w:rPr>
              <w:t>、桥梁经常性检查、定期检测项目合同费用按月支付；</w:t>
            </w:r>
          </w:p>
          <w:p>
            <w:pPr>
              <w:spacing w:line="360" w:lineRule="exact"/>
              <w:rPr>
                <w:rFonts w:ascii="宋体"/>
                <w:color w:val="auto"/>
                <w:sz w:val="22"/>
                <w:szCs w:val="22"/>
              </w:rPr>
            </w:pPr>
            <w:r>
              <w:rPr>
                <w:rFonts w:ascii="宋体" w:hAnsi="宋体"/>
                <w:color w:val="auto"/>
                <w:sz w:val="22"/>
                <w:szCs w:val="22"/>
              </w:rPr>
              <w:t>2</w:t>
            </w:r>
            <w:r>
              <w:rPr>
                <w:rFonts w:hint="eastAsia" w:ascii="宋体" w:hAnsi="宋体"/>
                <w:color w:val="auto"/>
                <w:sz w:val="22"/>
                <w:szCs w:val="22"/>
              </w:rPr>
              <w:t>、桥梁日常维护费用按实际完成的单个项目金额支付，经财政部门审核后按实结算。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vAlign w:val="center"/>
          </w:tcPr>
          <w:p>
            <w:pPr>
              <w:spacing w:line="360" w:lineRule="exact"/>
              <w:jc w:val="center"/>
              <w:rPr>
                <w:rFonts w:ascii="宋体" w:hAnsi="宋体"/>
                <w:color w:val="auto"/>
                <w:sz w:val="22"/>
                <w:szCs w:val="22"/>
              </w:rPr>
            </w:pPr>
            <w:r>
              <w:rPr>
                <w:rFonts w:ascii="宋体" w:hAnsi="宋体"/>
                <w:color w:val="auto"/>
                <w:sz w:val="22"/>
                <w:szCs w:val="22"/>
              </w:rPr>
              <w:t>6</w:t>
            </w:r>
          </w:p>
        </w:tc>
        <w:tc>
          <w:tcPr>
            <w:tcW w:w="1559" w:type="dxa"/>
            <w:vAlign w:val="center"/>
          </w:tcPr>
          <w:p>
            <w:pPr>
              <w:spacing w:line="360" w:lineRule="exact"/>
              <w:rPr>
                <w:rFonts w:ascii="宋体"/>
                <w:color w:val="auto"/>
                <w:sz w:val="22"/>
                <w:szCs w:val="22"/>
              </w:rPr>
            </w:pPr>
            <w:r>
              <w:rPr>
                <w:rFonts w:hint="eastAsia" w:ascii="宋体" w:hAnsi="宋体"/>
                <w:color w:val="auto"/>
                <w:sz w:val="22"/>
                <w:szCs w:val="22"/>
              </w:rPr>
              <w:t>报价内容</w:t>
            </w:r>
          </w:p>
        </w:tc>
        <w:tc>
          <w:tcPr>
            <w:tcW w:w="6638" w:type="dxa"/>
            <w:vAlign w:val="center"/>
          </w:tcPr>
          <w:p>
            <w:pPr>
              <w:spacing w:line="360" w:lineRule="exact"/>
              <w:ind w:right="23"/>
              <w:rPr>
                <w:rFonts w:ascii="宋体"/>
                <w:bCs/>
                <w:color w:val="auto"/>
                <w:sz w:val="22"/>
                <w:szCs w:val="22"/>
              </w:rPr>
            </w:pPr>
            <w:r>
              <w:rPr>
                <w:rFonts w:hint="eastAsia" w:ascii="宋体" w:hAnsi="宋体"/>
                <w:bCs/>
                <w:color w:val="auto"/>
                <w:sz w:val="22"/>
                <w:szCs w:val="22"/>
              </w:rPr>
              <w:t>报价应包含完成本次招标所有服务内容的费用，包括人工费、材料费、设备使用费、各种税务费、必须的辅助材料费及合同实施过程中不可预见费用等全部费用。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Ex>
        <w:tc>
          <w:tcPr>
            <w:tcW w:w="734" w:type="dxa"/>
            <w:tcBorders>
              <w:bottom w:val="single" w:color="auto" w:sz="12" w:space="0"/>
            </w:tcBorders>
            <w:vAlign w:val="center"/>
          </w:tcPr>
          <w:p>
            <w:pPr>
              <w:spacing w:line="360" w:lineRule="exact"/>
              <w:jc w:val="center"/>
              <w:rPr>
                <w:rFonts w:ascii="宋体" w:hAnsi="宋体"/>
                <w:color w:val="auto"/>
                <w:sz w:val="22"/>
                <w:szCs w:val="22"/>
              </w:rPr>
            </w:pPr>
            <w:r>
              <w:rPr>
                <w:rFonts w:ascii="宋体" w:hAnsi="宋体"/>
                <w:color w:val="auto"/>
                <w:sz w:val="22"/>
                <w:szCs w:val="22"/>
              </w:rPr>
              <w:t>7</w:t>
            </w:r>
          </w:p>
        </w:tc>
        <w:tc>
          <w:tcPr>
            <w:tcW w:w="1559" w:type="dxa"/>
            <w:tcBorders>
              <w:bottom w:val="single" w:color="auto" w:sz="12" w:space="0"/>
            </w:tcBorders>
            <w:vAlign w:val="center"/>
          </w:tcPr>
          <w:p>
            <w:pPr>
              <w:spacing w:line="360" w:lineRule="exact"/>
              <w:rPr>
                <w:rFonts w:ascii="宋体"/>
                <w:color w:val="auto"/>
                <w:sz w:val="22"/>
                <w:szCs w:val="22"/>
              </w:rPr>
            </w:pPr>
            <w:r>
              <w:rPr>
                <w:rFonts w:hint="eastAsia" w:ascii="宋体" w:hAnsi="宋体"/>
                <w:color w:val="auto"/>
                <w:sz w:val="22"/>
                <w:szCs w:val="22"/>
              </w:rPr>
              <w:t>合同条款</w:t>
            </w:r>
          </w:p>
        </w:tc>
        <w:tc>
          <w:tcPr>
            <w:tcW w:w="6638" w:type="dxa"/>
            <w:tcBorders>
              <w:bottom w:val="single" w:color="auto" w:sz="12" w:space="0"/>
            </w:tcBorders>
            <w:vAlign w:val="center"/>
          </w:tcPr>
          <w:p>
            <w:pPr>
              <w:spacing w:line="360" w:lineRule="exact"/>
              <w:rPr>
                <w:rFonts w:ascii="宋体"/>
                <w:color w:val="auto"/>
                <w:sz w:val="22"/>
                <w:szCs w:val="22"/>
              </w:rPr>
            </w:pPr>
            <w:r>
              <w:rPr>
                <w:rFonts w:hint="eastAsia" w:ascii="宋体" w:hAnsi="宋体"/>
                <w:color w:val="auto"/>
                <w:sz w:val="22"/>
                <w:szCs w:val="22"/>
              </w:rPr>
              <w:t>投标人实质响应合同条款。</w:t>
            </w:r>
          </w:p>
        </w:tc>
      </w:tr>
    </w:tbl>
    <w:p>
      <w:pPr>
        <w:jc w:val="center"/>
        <w:rPr>
          <w:rFonts w:ascii="宋体"/>
          <w:b/>
          <w:color w:val="auto"/>
          <w:sz w:val="28"/>
          <w:szCs w:val="28"/>
        </w:rPr>
        <w:sectPr>
          <w:headerReference r:id="rId4" w:type="first"/>
          <w:headerReference r:id="rId3" w:type="default"/>
          <w:footerReference r:id="rId5" w:type="default"/>
          <w:pgSz w:w="11906" w:h="16838"/>
          <w:pgMar w:top="1440" w:right="1418" w:bottom="1418" w:left="1418" w:header="851" w:footer="992" w:gutter="0"/>
          <w:cols w:space="720" w:num="1"/>
          <w:titlePg/>
          <w:docGrid w:type="lines" w:linePitch="312" w:charSpace="0"/>
        </w:sectPr>
      </w:pPr>
    </w:p>
    <w:p>
      <w:pPr>
        <w:jc w:val="center"/>
        <w:rPr>
          <w:rFonts w:ascii="宋体"/>
          <w:b/>
          <w:color w:val="auto"/>
          <w:sz w:val="28"/>
          <w:szCs w:val="28"/>
        </w:rPr>
        <w:sectPr>
          <w:type w:val="continuous"/>
          <w:pgSz w:w="11906" w:h="16838"/>
          <w:pgMar w:top="1440" w:right="1418" w:bottom="1418" w:left="1418" w:header="851" w:footer="992" w:gutter="0"/>
          <w:cols w:space="720" w:num="1"/>
          <w:docGrid w:type="lines" w:linePitch="312" w:charSpace="0"/>
        </w:sectPr>
      </w:pPr>
    </w:p>
    <w:p>
      <w:pPr>
        <w:jc w:val="center"/>
        <w:rPr>
          <w:rFonts w:ascii="宋体"/>
          <w:color w:val="auto"/>
        </w:rPr>
      </w:pPr>
      <w:r>
        <w:rPr>
          <w:rFonts w:hint="eastAsia" w:ascii="宋体" w:hAnsi="宋体"/>
          <w:b/>
          <w:color w:val="auto"/>
          <w:sz w:val="28"/>
          <w:szCs w:val="28"/>
        </w:rPr>
        <w:t>第二部分</w:t>
      </w:r>
      <w:r>
        <w:rPr>
          <w:rFonts w:ascii="宋体" w:hAnsi="宋体"/>
          <w:b/>
          <w:color w:val="auto"/>
          <w:sz w:val="28"/>
          <w:szCs w:val="28"/>
        </w:rPr>
        <w:t xml:space="preserve"> </w:t>
      </w:r>
      <w:r>
        <w:rPr>
          <w:rFonts w:hint="eastAsia" w:ascii="宋体" w:hAnsi="宋体"/>
          <w:b/>
          <w:color w:val="auto"/>
          <w:sz w:val="28"/>
          <w:szCs w:val="28"/>
        </w:rPr>
        <w:t>技术需求书</w:t>
      </w:r>
    </w:p>
    <w:p>
      <w:pPr>
        <w:spacing w:line="420" w:lineRule="atLeast"/>
        <w:rPr>
          <w:rFonts w:ascii="宋体"/>
          <w:b/>
          <w:color w:val="auto"/>
          <w:sz w:val="22"/>
          <w:szCs w:val="22"/>
        </w:rPr>
      </w:pPr>
      <w:bookmarkStart w:id="1" w:name="_Toc518055690"/>
      <w:bookmarkStart w:id="2" w:name="_Toc518050510"/>
      <w:r>
        <w:rPr>
          <w:rFonts w:hint="eastAsia" w:ascii="宋体" w:hAnsi="宋体"/>
          <w:b/>
          <w:color w:val="auto"/>
          <w:sz w:val="22"/>
          <w:szCs w:val="22"/>
        </w:rPr>
        <w:t>一、招标范围</w:t>
      </w:r>
      <w:bookmarkEnd w:id="1"/>
      <w:bookmarkEnd w:id="2"/>
    </w:p>
    <w:p>
      <w:pPr>
        <w:autoSpaceDE w:val="0"/>
        <w:autoSpaceDN w:val="0"/>
        <w:adjustRightInd w:val="0"/>
        <w:ind w:firstLine="420" w:firstLineChars="200"/>
        <w:jc w:val="left"/>
        <w:rPr>
          <w:rFonts w:ascii="宋体"/>
          <w:color w:val="auto"/>
          <w:kern w:val="0"/>
          <w:szCs w:val="21"/>
        </w:rPr>
      </w:pPr>
      <w:r>
        <w:rPr>
          <w:rFonts w:ascii="宋体" w:hAnsi="宋体"/>
          <w:color w:val="auto"/>
          <w:kern w:val="0"/>
          <w:szCs w:val="21"/>
        </w:rPr>
        <w:t>1</w:t>
      </w:r>
      <w:r>
        <w:rPr>
          <w:rFonts w:hint="eastAsia" w:ascii="宋体" w:hAnsi="宋体"/>
          <w:color w:val="auto"/>
          <w:kern w:val="0"/>
          <w:szCs w:val="21"/>
        </w:rPr>
        <w:t>、项目名称：生态园城市桥梁经常性检查、定期检测及日常维护项目</w:t>
      </w:r>
    </w:p>
    <w:p>
      <w:pPr>
        <w:autoSpaceDE w:val="0"/>
        <w:autoSpaceDN w:val="0"/>
        <w:adjustRightInd w:val="0"/>
        <w:ind w:firstLine="420" w:firstLineChars="200"/>
        <w:jc w:val="left"/>
        <w:rPr>
          <w:rFonts w:ascii="宋体"/>
          <w:color w:val="auto"/>
          <w:kern w:val="0"/>
          <w:szCs w:val="21"/>
        </w:rPr>
      </w:pPr>
      <w:r>
        <w:rPr>
          <w:rFonts w:ascii="宋体" w:hAnsi="宋体"/>
          <w:color w:val="auto"/>
          <w:kern w:val="0"/>
          <w:szCs w:val="21"/>
        </w:rPr>
        <w:t>2</w:t>
      </w:r>
      <w:r>
        <w:rPr>
          <w:rFonts w:hint="eastAsia" w:ascii="宋体" w:hAnsi="宋体"/>
          <w:color w:val="auto"/>
          <w:kern w:val="0"/>
          <w:szCs w:val="21"/>
        </w:rPr>
        <w:t>、招标内容：生态园共</w:t>
      </w:r>
      <w:r>
        <w:rPr>
          <w:rFonts w:ascii="宋体" w:hAnsi="宋体"/>
          <w:color w:val="auto"/>
          <w:kern w:val="0"/>
          <w:szCs w:val="21"/>
        </w:rPr>
        <w:t>43</w:t>
      </w:r>
      <w:r>
        <w:rPr>
          <w:rFonts w:hint="eastAsia" w:ascii="宋体" w:hAnsi="宋体"/>
          <w:color w:val="auto"/>
          <w:kern w:val="0"/>
          <w:szCs w:val="21"/>
        </w:rPr>
        <w:t>座城市桥梁的经常性检查、定期检测及日常维护协议服务，桥梁名称及相关情况如下：</w:t>
      </w:r>
    </w:p>
    <w:p>
      <w:pPr>
        <w:autoSpaceDE w:val="0"/>
        <w:autoSpaceDN w:val="0"/>
        <w:adjustRightInd w:val="0"/>
        <w:jc w:val="left"/>
        <w:rPr>
          <w:rFonts w:ascii="宋体"/>
          <w:color w:val="auto"/>
          <w:kern w:val="0"/>
          <w:szCs w:val="21"/>
        </w:rPr>
      </w:pPr>
    </w:p>
    <w:p>
      <w:pPr>
        <w:autoSpaceDE w:val="0"/>
        <w:autoSpaceDN w:val="0"/>
        <w:adjustRightInd w:val="0"/>
        <w:jc w:val="center"/>
        <w:rPr>
          <w:rFonts w:ascii="宋体"/>
          <w:b/>
          <w:color w:val="auto"/>
          <w:kern w:val="0"/>
          <w:sz w:val="32"/>
          <w:szCs w:val="32"/>
        </w:rPr>
      </w:pPr>
      <w:r>
        <w:rPr>
          <w:rFonts w:hint="eastAsia" w:ascii="宋体" w:hAnsi="宋体"/>
          <w:b/>
          <w:color w:val="auto"/>
          <w:kern w:val="0"/>
          <w:sz w:val="32"/>
          <w:szCs w:val="32"/>
        </w:rPr>
        <w:t>生态园城市桥梁清单</w:t>
      </w:r>
    </w:p>
    <w:tbl>
      <w:tblPr>
        <w:tblStyle w:val="7"/>
        <w:tblW w:w="14495" w:type="dxa"/>
        <w:jc w:val="center"/>
        <w:tblInd w:w="-49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
        <w:gridCol w:w="1843"/>
        <w:gridCol w:w="1134"/>
        <w:gridCol w:w="1701"/>
        <w:gridCol w:w="1418"/>
        <w:gridCol w:w="1559"/>
        <w:gridCol w:w="1134"/>
        <w:gridCol w:w="851"/>
        <w:gridCol w:w="1134"/>
        <w:gridCol w:w="1134"/>
        <w:gridCol w:w="1134"/>
        <w:gridCol w:w="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tblHeader/>
          <w:jc w:val="center"/>
        </w:trPr>
        <w:tc>
          <w:tcPr>
            <w:tcW w:w="478"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序号</w:t>
            </w:r>
          </w:p>
        </w:tc>
        <w:tc>
          <w:tcPr>
            <w:tcW w:w="1843"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桥梁名称</w:t>
            </w:r>
          </w:p>
        </w:tc>
        <w:tc>
          <w:tcPr>
            <w:tcW w:w="1134"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桥梁位置</w:t>
            </w:r>
          </w:p>
        </w:tc>
        <w:tc>
          <w:tcPr>
            <w:tcW w:w="1701"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结构形式</w:t>
            </w:r>
          </w:p>
        </w:tc>
        <w:tc>
          <w:tcPr>
            <w:tcW w:w="1418"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跨径组成（</w:t>
            </w:r>
            <w:r>
              <w:rPr>
                <w:rFonts w:ascii="宋体" w:hAnsi="宋体"/>
                <w:color w:val="auto"/>
                <w:kern w:val="0"/>
                <w:sz w:val="20"/>
                <w:szCs w:val="20"/>
              </w:rPr>
              <w:t>m</w:t>
            </w:r>
            <w:r>
              <w:rPr>
                <w:rFonts w:hint="eastAsia" w:ascii="宋体" w:hAnsi="宋体"/>
                <w:color w:val="auto"/>
                <w:kern w:val="0"/>
                <w:sz w:val="20"/>
                <w:szCs w:val="20"/>
              </w:rPr>
              <w:t>）</w:t>
            </w:r>
          </w:p>
        </w:tc>
        <w:tc>
          <w:tcPr>
            <w:tcW w:w="1559"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桥梁面积（</w:t>
            </w:r>
            <w:r>
              <w:rPr>
                <w:rFonts w:ascii="宋体" w:hAnsi="宋体"/>
                <w:color w:val="auto"/>
                <w:kern w:val="0"/>
                <w:sz w:val="20"/>
                <w:szCs w:val="20"/>
              </w:rPr>
              <w:t>m2</w:t>
            </w:r>
            <w:r>
              <w:rPr>
                <w:rFonts w:hint="eastAsia" w:ascii="宋体" w:hAnsi="宋体"/>
                <w:color w:val="auto"/>
                <w:kern w:val="0"/>
                <w:sz w:val="20"/>
                <w:szCs w:val="20"/>
              </w:rPr>
              <w:t>）</w:t>
            </w:r>
          </w:p>
        </w:tc>
        <w:tc>
          <w:tcPr>
            <w:tcW w:w="1134"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功能</w:t>
            </w:r>
          </w:p>
          <w:p>
            <w:pPr>
              <w:widowControl/>
              <w:spacing w:line="360" w:lineRule="exact"/>
              <w:jc w:val="center"/>
              <w:rPr>
                <w:rFonts w:ascii="宋体"/>
                <w:color w:val="auto"/>
                <w:kern w:val="0"/>
                <w:sz w:val="20"/>
                <w:szCs w:val="20"/>
              </w:rPr>
            </w:pPr>
            <w:r>
              <w:rPr>
                <w:rFonts w:hint="eastAsia" w:ascii="宋体" w:hAnsi="宋体"/>
                <w:color w:val="auto"/>
                <w:kern w:val="0"/>
                <w:sz w:val="20"/>
                <w:szCs w:val="20"/>
              </w:rPr>
              <w:t>分类</w:t>
            </w:r>
          </w:p>
        </w:tc>
        <w:tc>
          <w:tcPr>
            <w:tcW w:w="851"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规模</w:t>
            </w:r>
          </w:p>
          <w:p>
            <w:pPr>
              <w:widowControl/>
              <w:spacing w:line="360" w:lineRule="exact"/>
              <w:jc w:val="center"/>
              <w:rPr>
                <w:rFonts w:ascii="宋体"/>
                <w:color w:val="auto"/>
                <w:kern w:val="0"/>
                <w:sz w:val="20"/>
                <w:szCs w:val="20"/>
              </w:rPr>
            </w:pPr>
            <w:r>
              <w:rPr>
                <w:rFonts w:hint="eastAsia" w:ascii="宋体" w:hAnsi="宋体"/>
                <w:color w:val="auto"/>
                <w:kern w:val="0"/>
                <w:sz w:val="20"/>
                <w:szCs w:val="20"/>
              </w:rPr>
              <w:t>分类</w:t>
            </w:r>
          </w:p>
        </w:tc>
        <w:tc>
          <w:tcPr>
            <w:tcW w:w="1134"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养护等级</w:t>
            </w:r>
          </w:p>
        </w:tc>
        <w:tc>
          <w:tcPr>
            <w:tcW w:w="1134"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水下桩位</w:t>
            </w:r>
          </w:p>
        </w:tc>
        <w:tc>
          <w:tcPr>
            <w:tcW w:w="1134"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桥梁栏杆总长（</w:t>
            </w:r>
            <w:r>
              <w:rPr>
                <w:rFonts w:ascii="宋体" w:hAnsi="宋体"/>
                <w:color w:val="auto"/>
                <w:kern w:val="0"/>
                <w:sz w:val="20"/>
                <w:szCs w:val="20"/>
              </w:rPr>
              <w:t>m</w:t>
            </w:r>
            <w:r>
              <w:rPr>
                <w:rFonts w:hint="eastAsia" w:ascii="宋体" w:hAnsi="宋体"/>
                <w:color w:val="auto"/>
                <w:kern w:val="0"/>
                <w:sz w:val="20"/>
                <w:szCs w:val="20"/>
              </w:rPr>
              <w:t>）</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kern w:val="0"/>
                <w:sz w:val="20"/>
                <w:szCs w:val="20"/>
              </w:rPr>
              <w:t>栏杆结构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w:t>
            </w:r>
          </w:p>
        </w:tc>
        <w:tc>
          <w:tcPr>
            <w:tcW w:w="1843" w:type="dxa"/>
            <w:vAlign w:val="center"/>
          </w:tcPr>
          <w:p>
            <w:pPr>
              <w:spacing w:line="360" w:lineRule="exact"/>
              <w:jc w:val="center"/>
              <w:rPr>
                <w:rFonts w:ascii="宋体"/>
                <w:color w:val="auto"/>
                <w:sz w:val="22"/>
              </w:rPr>
            </w:pPr>
            <w:r>
              <w:rPr>
                <w:rFonts w:hint="eastAsia" w:ascii="宋体" w:hAnsi="宋体"/>
                <w:color w:val="auto"/>
                <w:sz w:val="22"/>
              </w:rPr>
              <w:t>燕岭路</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燕岭路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2888.3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140</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w:t>
            </w:r>
          </w:p>
        </w:tc>
        <w:tc>
          <w:tcPr>
            <w:tcW w:w="1843" w:type="dxa"/>
            <w:vAlign w:val="center"/>
          </w:tcPr>
          <w:p>
            <w:pPr>
              <w:spacing w:line="360" w:lineRule="exact"/>
              <w:jc w:val="center"/>
              <w:rPr>
                <w:rFonts w:ascii="宋体"/>
                <w:color w:val="auto"/>
                <w:sz w:val="22"/>
              </w:rPr>
            </w:pPr>
            <w:r>
              <w:rPr>
                <w:rFonts w:hint="eastAsia" w:ascii="宋体" w:hAnsi="宋体"/>
                <w:color w:val="auto"/>
                <w:sz w:val="22"/>
              </w:rPr>
              <w:t>燕岭路</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燕岭路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2106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140</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w:t>
            </w:r>
          </w:p>
        </w:tc>
        <w:tc>
          <w:tcPr>
            <w:tcW w:w="1843" w:type="dxa"/>
            <w:vAlign w:val="center"/>
          </w:tcPr>
          <w:p>
            <w:pPr>
              <w:spacing w:line="360" w:lineRule="exact"/>
              <w:jc w:val="center"/>
              <w:rPr>
                <w:rFonts w:ascii="宋体"/>
                <w:color w:val="auto"/>
                <w:sz w:val="22"/>
              </w:rPr>
            </w:pPr>
            <w:r>
              <w:rPr>
                <w:rFonts w:hint="eastAsia" w:ascii="宋体" w:hAnsi="宋体"/>
                <w:color w:val="auto"/>
                <w:sz w:val="22"/>
              </w:rPr>
              <w:t>碧湖路中桥</w:t>
            </w:r>
          </w:p>
        </w:tc>
        <w:tc>
          <w:tcPr>
            <w:tcW w:w="1134" w:type="dxa"/>
            <w:vAlign w:val="center"/>
          </w:tcPr>
          <w:p>
            <w:pPr>
              <w:spacing w:line="360" w:lineRule="exact"/>
              <w:jc w:val="center"/>
              <w:rPr>
                <w:rFonts w:ascii="宋体"/>
                <w:color w:val="auto"/>
              </w:rPr>
            </w:pPr>
            <w:r>
              <w:rPr>
                <w:rFonts w:hint="eastAsia" w:ascii="宋体" w:hAnsi="宋体"/>
                <w:color w:val="auto"/>
              </w:rPr>
              <w:t>碧湖路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18.5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1965.6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4</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南朗路</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南朗路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1660.6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2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5</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南朗路</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南朗路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1660.6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6</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南朗路</w:t>
            </w:r>
            <w:r>
              <w:rPr>
                <w:rFonts w:ascii="宋体" w:hAnsi="宋体"/>
                <w:color w:val="auto"/>
                <w:sz w:val="22"/>
              </w:rPr>
              <w:t>3</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南朗路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1660.6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7</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南朗路</w:t>
            </w:r>
            <w:r>
              <w:rPr>
                <w:rFonts w:ascii="宋体" w:hAnsi="宋体"/>
                <w:color w:val="auto"/>
                <w:sz w:val="22"/>
              </w:rPr>
              <w:t>4</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南朗路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1660.6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1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8</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南朗路</w:t>
            </w:r>
            <w:r>
              <w:rPr>
                <w:rFonts w:ascii="宋体" w:hAnsi="宋体"/>
                <w:color w:val="auto"/>
                <w:sz w:val="22"/>
              </w:rPr>
              <w:t>5</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南朗路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1027</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小桥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52</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6"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9</w:t>
            </w:r>
          </w:p>
        </w:tc>
        <w:tc>
          <w:tcPr>
            <w:tcW w:w="1843" w:type="dxa"/>
            <w:vAlign w:val="center"/>
          </w:tcPr>
          <w:p>
            <w:pPr>
              <w:spacing w:line="360" w:lineRule="exact"/>
              <w:jc w:val="center"/>
              <w:rPr>
                <w:rFonts w:ascii="宋体"/>
                <w:color w:val="auto"/>
                <w:sz w:val="22"/>
              </w:rPr>
            </w:pPr>
            <w:r>
              <w:rPr>
                <w:rFonts w:hint="eastAsia" w:ascii="宋体" w:hAnsi="宋体"/>
                <w:color w:val="auto"/>
                <w:sz w:val="22"/>
              </w:rPr>
              <w:t>文荟路中桥</w:t>
            </w:r>
          </w:p>
        </w:tc>
        <w:tc>
          <w:tcPr>
            <w:tcW w:w="1134" w:type="dxa"/>
            <w:vAlign w:val="center"/>
          </w:tcPr>
          <w:p>
            <w:pPr>
              <w:spacing w:line="360" w:lineRule="exact"/>
              <w:jc w:val="center"/>
              <w:rPr>
                <w:rFonts w:ascii="宋体"/>
                <w:color w:val="auto"/>
              </w:rPr>
            </w:pPr>
            <w:r>
              <w:rPr>
                <w:rFonts w:hint="eastAsia" w:ascii="宋体" w:hAnsi="宋体"/>
                <w:color w:val="auto"/>
                <w:sz w:val="22"/>
              </w:rPr>
              <w:t>文荟路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396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25.5</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51"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10</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月塘</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月塘路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 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666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3</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88.8</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3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11</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月塘</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月塘路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754</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3</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12</w:t>
            </w:r>
          </w:p>
        </w:tc>
        <w:tc>
          <w:tcPr>
            <w:tcW w:w="1843" w:type="dxa"/>
            <w:vAlign w:val="center"/>
          </w:tcPr>
          <w:p>
            <w:pPr>
              <w:spacing w:line="360" w:lineRule="exact"/>
              <w:jc w:val="center"/>
              <w:rPr>
                <w:rFonts w:ascii="宋体"/>
                <w:color w:val="auto"/>
                <w:sz w:val="22"/>
              </w:rPr>
            </w:pPr>
            <w:r>
              <w:rPr>
                <w:rFonts w:hint="eastAsia" w:ascii="宋体" w:hAnsi="宋体"/>
                <w:color w:val="auto"/>
                <w:sz w:val="22"/>
              </w:rPr>
              <w:t>行政岛</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瑞和路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钢筋混凝土拱桥</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11.75m+16.50m+11.75m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1512</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4</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126</w:t>
            </w:r>
          </w:p>
        </w:tc>
        <w:tc>
          <w:tcPr>
            <w:tcW w:w="975" w:type="dxa"/>
            <w:vAlign w:val="center"/>
          </w:tcPr>
          <w:p>
            <w:pPr>
              <w:spacing w:line="360" w:lineRule="exact"/>
              <w:jc w:val="center"/>
              <w:rPr>
                <w:rFonts w:ascii="宋体"/>
                <w:color w:val="auto"/>
                <w:sz w:val="20"/>
                <w:szCs w:val="20"/>
              </w:rPr>
            </w:pPr>
            <w:r>
              <w:rPr>
                <w:rFonts w:hint="eastAsia" w:ascii="宋体" w:hAnsi="宋体"/>
                <w:color w:val="auto"/>
                <w:sz w:val="20"/>
                <w:szCs w:val="20"/>
              </w:rPr>
              <w:t>大理石</w:t>
            </w:r>
          </w:p>
          <w:p>
            <w:pPr>
              <w:widowControl/>
              <w:spacing w:line="360" w:lineRule="exact"/>
              <w:jc w:val="center"/>
              <w:rPr>
                <w:rFonts w:ascii="宋体"/>
                <w:color w:val="auto"/>
                <w:kern w:val="0"/>
                <w:sz w:val="20"/>
                <w:szCs w:val="20"/>
              </w:rPr>
            </w:pPr>
            <w:r>
              <w:rPr>
                <w:rFonts w:hint="eastAsia" w:ascii="宋体" w:hAnsi="宋体"/>
                <w:color w:val="auto"/>
                <w:sz w:val="20"/>
                <w:szCs w:val="20"/>
              </w:rPr>
              <w:t>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5"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13</w:t>
            </w:r>
          </w:p>
        </w:tc>
        <w:tc>
          <w:tcPr>
            <w:tcW w:w="1843" w:type="dxa"/>
            <w:vAlign w:val="center"/>
          </w:tcPr>
          <w:p>
            <w:pPr>
              <w:spacing w:line="360" w:lineRule="exact"/>
              <w:jc w:val="center"/>
              <w:rPr>
                <w:rFonts w:ascii="宋体"/>
                <w:color w:val="auto"/>
                <w:sz w:val="22"/>
              </w:rPr>
            </w:pPr>
            <w:r>
              <w:rPr>
                <w:rFonts w:hint="eastAsia" w:ascii="宋体" w:hAnsi="宋体"/>
                <w:color w:val="auto"/>
                <w:sz w:val="22"/>
              </w:rPr>
              <w:t>行政岛</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祥和路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钢</w:t>
            </w:r>
            <w:r>
              <w:rPr>
                <w:rFonts w:ascii="宋体"/>
                <w:color w:val="auto"/>
                <w:szCs w:val="21"/>
              </w:rPr>
              <w:t>-</w:t>
            </w:r>
            <w:r>
              <w:rPr>
                <w:rFonts w:hint="eastAsia" w:ascii="宋体" w:hAnsi="宋体"/>
                <w:color w:val="auto"/>
                <w:szCs w:val="21"/>
              </w:rPr>
              <w:t>混凝土组合拱桥</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52.0m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1419.8</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124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0"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14</w:t>
            </w:r>
          </w:p>
        </w:tc>
        <w:tc>
          <w:tcPr>
            <w:tcW w:w="1843" w:type="dxa"/>
            <w:vAlign w:val="center"/>
          </w:tcPr>
          <w:p>
            <w:pPr>
              <w:spacing w:line="360" w:lineRule="exact"/>
              <w:jc w:val="center"/>
              <w:rPr>
                <w:rFonts w:ascii="宋体"/>
                <w:color w:val="auto"/>
                <w:sz w:val="22"/>
              </w:rPr>
            </w:pPr>
            <w:r>
              <w:rPr>
                <w:rFonts w:hint="eastAsia" w:ascii="宋体" w:hAnsi="宋体"/>
                <w:color w:val="auto"/>
                <w:sz w:val="22"/>
              </w:rPr>
              <w:t>行政岛</w:t>
            </w:r>
            <w:r>
              <w:rPr>
                <w:rFonts w:ascii="宋体" w:hAnsi="宋体"/>
                <w:color w:val="auto"/>
                <w:sz w:val="22"/>
              </w:rPr>
              <w:t>3</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庆和路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钢筋混凝土拱桥</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916.8</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2</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76.4</w:t>
            </w:r>
          </w:p>
        </w:tc>
        <w:tc>
          <w:tcPr>
            <w:tcW w:w="975" w:type="dxa"/>
            <w:vAlign w:val="center"/>
          </w:tcPr>
          <w:p>
            <w:pPr>
              <w:spacing w:line="360" w:lineRule="exact"/>
              <w:jc w:val="center"/>
              <w:rPr>
                <w:rFonts w:ascii="宋体"/>
                <w:color w:val="auto"/>
                <w:sz w:val="20"/>
                <w:szCs w:val="20"/>
              </w:rPr>
            </w:pPr>
            <w:r>
              <w:rPr>
                <w:rFonts w:hint="eastAsia" w:ascii="宋体" w:hAnsi="宋体"/>
                <w:color w:val="auto"/>
                <w:sz w:val="20"/>
                <w:szCs w:val="20"/>
              </w:rPr>
              <w:t>大理石</w:t>
            </w:r>
          </w:p>
          <w:p>
            <w:pPr>
              <w:widowControl/>
              <w:spacing w:line="360" w:lineRule="exact"/>
              <w:jc w:val="center"/>
              <w:rPr>
                <w:rFonts w:ascii="宋体"/>
                <w:color w:val="auto"/>
                <w:kern w:val="0"/>
                <w:sz w:val="20"/>
                <w:szCs w:val="20"/>
              </w:rPr>
            </w:pPr>
            <w:r>
              <w:rPr>
                <w:rFonts w:hint="eastAsia" w:ascii="宋体" w:hAnsi="宋体"/>
                <w:color w:val="auto"/>
                <w:sz w:val="20"/>
                <w:szCs w:val="20"/>
              </w:rPr>
              <w:t>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15</w:t>
            </w:r>
          </w:p>
        </w:tc>
        <w:tc>
          <w:tcPr>
            <w:tcW w:w="1843" w:type="dxa"/>
            <w:vAlign w:val="center"/>
          </w:tcPr>
          <w:p>
            <w:pPr>
              <w:spacing w:line="360" w:lineRule="exact"/>
              <w:jc w:val="center"/>
              <w:rPr>
                <w:rFonts w:ascii="宋体"/>
                <w:color w:val="auto"/>
                <w:sz w:val="22"/>
              </w:rPr>
            </w:pPr>
            <w:r>
              <w:rPr>
                <w:rFonts w:hint="eastAsia" w:ascii="宋体" w:hAnsi="宋体"/>
                <w:color w:val="auto"/>
                <w:sz w:val="22"/>
              </w:rPr>
              <w:t>大圳埔</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园山路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777</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4</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140</w:t>
            </w:r>
          </w:p>
        </w:tc>
        <w:tc>
          <w:tcPr>
            <w:tcW w:w="975" w:type="dxa"/>
            <w:vAlign w:val="center"/>
          </w:tcPr>
          <w:p>
            <w:pPr>
              <w:spacing w:line="360" w:lineRule="exact"/>
              <w:jc w:val="center"/>
              <w:rPr>
                <w:rFonts w:ascii="宋体"/>
                <w:color w:val="auto"/>
                <w:sz w:val="20"/>
                <w:szCs w:val="20"/>
              </w:rPr>
            </w:pPr>
            <w:r>
              <w:rPr>
                <w:rFonts w:hint="eastAsia" w:ascii="宋体" w:hAnsi="宋体"/>
                <w:color w:val="auto"/>
                <w:sz w:val="20"/>
                <w:szCs w:val="20"/>
              </w:rPr>
              <w:t>大理石</w:t>
            </w:r>
          </w:p>
          <w:p>
            <w:pPr>
              <w:widowControl/>
              <w:spacing w:line="360" w:lineRule="exact"/>
              <w:jc w:val="center"/>
              <w:rPr>
                <w:rFonts w:ascii="宋体"/>
                <w:color w:val="auto"/>
                <w:kern w:val="0"/>
                <w:sz w:val="20"/>
                <w:szCs w:val="20"/>
              </w:rPr>
            </w:pPr>
            <w:r>
              <w:rPr>
                <w:rFonts w:hint="eastAsia" w:ascii="宋体" w:hAnsi="宋体"/>
                <w:color w:val="auto"/>
                <w:sz w:val="20"/>
                <w:szCs w:val="20"/>
              </w:rPr>
              <w:t>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16</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月湖路</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1323.3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8</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75</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17</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月湖路</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1323.3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8</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75</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18</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月湖路</w:t>
            </w:r>
            <w:r>
              <w:rPr>
                <w:rFonts w:ascii="宋体" w:hAnsi="宋体"/>
                <w:color w:val="auto"/>
                <w:sz w:val="22"/>
              </w:rPr>
              <w:t>3</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900.3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51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19</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月湖路</w:t>
            </w:r>
            <w:r>
              <w:rPr>
                <w:rFonts w:ascii="宋体" w:hAnsi="宋体"/>
                <w:color w:val="auto"/>
                <w:sz w:val="22"/>
              </w:rPr>
              <w:t>4</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900.3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51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20</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月湖路</w:t>
            </w:r>
            <w:r>
              <w:rPr>
                <w:rFonts w:ascii="宋体" w:hAnsi="宋体"/>
                <w:color w:val="auto"/>
                <w:sz w:val="22"/>
              </w:rPr>
              <w:t>5</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900.3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51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21</w:t>
            </w:r>
          </w:p>
        </w:tc>
        <w:tc>
          <w:tcPr>
            <w:tcW w:w="1843" w:type="dxa"/>
            <w:vAlign w:val="center"/>
          </w:tcPr>
          <w:p>
            <w:pPr>
              <w:spacing w:line="360" w:lineRule="exact"/>
              <w:jc w:val="center"/>
              <w:rPr>
                <w:rFonts w:ascii="宋体"/>
                <w:color w:val="auto"/>
                <w:sz w:val="22"/>
              </w:rPr>
            </w:pPr>
            <w:r>
              <w:rPr>
                <w:rFonts w:hint="eastAsia" w:ascii="宋体" w:hAnsi="宋体"/>
                <w:color w:val="auto"/>
                <w:sz w:val="22"/>
              </w:rPr>
              <w:t>塘中路</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sz w:val="22"/>
              </w:rPr>
              <w:t>塘中路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1450</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10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116</w:t>
            </w:r>
          </w:p>
        </w:tc>
        <w:tc>
          <w:tcPr>
            <w:tcW w:w="975" w:type="dxa"/>
            <w:vAlign w:val="center"/>
          </w:tcPr>
          <w:p>
            <w:pPr>
              <w:spacing w:line="360" w:lineRule="exact"/>
              <w:jc w:val="center"/>
              <w:rPr>
                <w:rFonts w:ascii="宋体"/>
                <w:color w:val="auto"/>
                <w:sz w:val="20"/>
                <w:szCs w:val="20"/>
              </w:rPr>
            </w:pPr>
            <w:r>
              <w:rPr>
                <w:rFonts w:hint="eastAsia" w:ascii="宋体" w:hAnsi="宋体"/>
                <w:color w:val="auto"/>
                <w:sz w:val="20"/>
                <w:szCs w:val="20"/>
              </w:rPr>
              <w:t>大理石</w:t>
            </w:r>
          </w:p>
          <w:p>
            <w:pPr>
              <w:widowControl/>
              <w:spacing w:line="360" w:lineRule="exact"/>
              <w:jc w:val="center"/>
              <w:rPr>
                <w:rFonts w:ascii="宋体"/>
                <w:color w:val="auto"/>
                <w:kern w:val="0"/>
                <w:sz w:val="20"/>
                <w:szCs w:val="20"/>
              </w:rPr>
            </w:pPr>
            <w:r>
              <w:rPr>
                <w:rFonts w:hint="eastAsia" w:ascii="宋体" w:hAnsi="宋体"/>
                <w:color w:val="auto"/>
                <w:sz w:val="20"/>
                <w:szCs w:val="20"/>
              </w:rPr>
              <w:t>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22</w:t>
            </w:r>
          </w:p>
        </w:tc>
        <w:tc>
          <w:tcPr>
            <w:tcW w:w="1843" w:type="dxa"/>
            <w:vAlign w:val="center"/>
          </w:tcPr>
          <w:p>
            <w:pPr>
              <w:spacing w:line="360" w:lineRule="exact"/>
              <w:jc w:val="center"/>
              <w:rPr>
                <w:rFonts w:ascii="宋体"/>
                <w:color w:val="auto"/>
                <w:sz w:val="22"/>
              </w:rPr>
            </w:pPr>
            <w:r>
              <w:rPr>
                <w:rFonts w:hint="eastAsia" w:ascii="宋体" w:hAnsi="宋体"/>
                <w:color w:val="auto"/>
                <w:sz w:val="22"/>
              </w:rPr>
              <w:t>塘中路</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sz w:val="22"/>
              </w:rPr>
              <w:t>塘中路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13.0m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1675</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12</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88.2</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23</w:t>
            </w:r>
          </w:p>
        </w:tc>
        <w:tc>
          <w:tcPr>
            <w:tcW w:w="1843" w:type="dxa"/>
            <w:vAlign w:val="center"/>
          </w:tcPr>
          <w:p>
            <w:pPr>
              <w:spacing w:line="360" w:lineRule="exact"/>
              <w:jc w:val="center"/>
              <w:rPr>
                <w:rFonts w:ascii="宋体"/>
                <w:color w:val="auto"/>
                <w:sz w:val="22"/>
              </w:rPr>
            </w:pPr>
            <w:r>
              <w:rPr>
                <w:rFonts w:hint="eastAsia" w:ascii="宋体" w:hAnsi="宋体"/>
                <w:color w:val="auto"/>
                <w:sz w:val="22"/>
              </w:rPr>
              <w:t>文和路中桥</w:t>
            </w:r>
          </w:p>
        </w:tc>
        <w:tc>
          <w:tcPr>
            <w:tcW w:w="1134" w:type="dxa"/>
            <w:vAlign w:val="center"/>
          </w:tcPr>
          <w:p>
            <w:pPr>
              <w:spacing w:line="360" w:lineRule="exact"/>
              <w:jc w:val="center"/>
              <w:rPr>
                <w:rFonts w:ascii="宋体"/>
                <w:color w:val="auto"/>
              </w:rPr>
            </w:pPr>
            <w:r>
              <w:rPr>
                <w:rFonts w:hint="eastAsia" w:ascii="宋体" w:hAnsi="宋体"/>
                <w:color w:val="auto"/>
                <w:sz w:val="22"/>
              </w:rPr>
              <w:t>文和路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2052</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12</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108</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24</w:t>
            </w:r>
          </w:p>
        </w:tc>
        <w:tc>
          <w:tcPr>
            <w:tcW w:w="1843" w:type="dxa"/>
            <w:vAlign w:val="center"/>
          </w:tcPr>
          <w:p>
            <w:pPr>
              <w:spacing w:line="360" w:lineRule="exact"/>
              <w:jc w:val="center"/>
              <w:rPr>
                <w:rFonts w:ascii="宋体"/>
                <w:color w:val="auto"/>
                <w:sz w:val="22"/>
              </w:rPr>
            </w:pPr>
            <w:r>
              <w:rPr>
                <w:rFonts w:hint="eastAsia" w:ascii="宋体" w:hAnsi="宋体"/>
                <w:color w:val="auto"/>
                <w:sz w:val="22"/>
              </w:rPr>
              <w:t>东园大道中桥</w:t>
            </w:r>
          </w:p>
        </w:tc>
        <w:tc>
          <w:tcPr>
            <w:tcW w:w="1134" w:type="dxa"/>
            <w:vAlign w:val="center"/>
          </w:tcPr>
          <w:p>
            <w:pPr>
              <w:spacing w:line="360" w:lineRule="exact"/>
              <w:jc w:val="center"/>
              <w:rPr>
                <w:rFonts w:ascii="宋体"/>
                <w:color w:val="auto"/>
              </w:rPr>
            </w:pPr>
            <w:r>
              <w:rPr>
                <w:rFonts w:hint="eastAsia" w:ascii="宋体" w:hAnsi="宋体"/>
                <w:color w:val="auto"/>
                <w:sz w:val="22"/>
              </w:rPr>
              <w:t>东园大道</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2957.3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20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129</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25</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南园路</w:t>
            </w:r>
            <w:r>
              <w:rPr>
                <w:rFonts w:ascii="宋体" w:hAnsi="宋体"/>
                <w:color w:val="auto"/>
                <w:sz w:val="22"/>
              </w:rPr>
              <w:t>1</w:t>
            </w:r>
            <w:r>
              <w:rPr>
                <w:rFonts w:hint="eastAsia" w:ascii="宋体" w:hAnsi="宋体"/>
                <w:color w:val="auto"/>
                <w:sz w:val="22"/>
              </w:rPr>
              <w:t>号大桥</w:t>
            </w:r>
          </w:p>
        </w:tc>
        <w:tc>
          <w:tcPr>
            <w:tcW w:w="1134" w:type="dxa"/>
            <w:vAlign w:val="center"/>
          </w:tcPr>
          <w:p>
            <w:pPr>
              <w:spacing w:line="360" w:lineRule="exact"/>
              <w:jc w:val="center"/>
              <w:rPr>
                <w:rFonts w:ascii="宋体"/>
                <w:color w:val="auto"/>
              </w:rPr>
            </w:pPr>
            <w:r>
              <w:rPr>
                <w:rFonts w:hint="eastAsia" w:ascii="宋体" w:hAnsi="宋体"/>
                <w:color w:val="auto"/>
                <w:sz w:val="22"/>
              </w:rPr>
              <w:t>南园路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20.0m +4</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4631.7</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大桥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36</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289.5</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26</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南园路</w:t>
            </w:r>
            <w:r>
              <w:rPr>
                <w:rFonts w:ascii="宋体" w:hAnsi="宋体"/>
                <w:color w:val="auto"/>
                <w:sz w:val="22"/>
              </w:rPr>
              <w:t>2</w:t>
            </w:r>
            <w:r>
              <w:rPr>
                <w:rFonts w:hint="eastAsia" w:ascii="宋体" w:hAnsi="宋体"/>
                <w:color w:val="auto"/>
                <w:sz w:val="22"/>
              </w:rPr>
              <w:t>号大桥</w:t>
            </w:r>
          </w:p>
        </w:tc>
        <w:tc>
          <w:tcPr>
            <w:tcW w:w="1134" w:type="dxa"/>
            <w:vAlign w:val="center"/>
          </w:tcPr>
          <w:p>
            <w:pPr>
              <w:spacing w:line="360" w:lineRule="exact"/>
              <w:jc w:val="center"/>
              <w:rPr>
                <w:rFonts w:ascii="宋体"/>
                <w:color w:val="auto"/>
              </w:rPr>
            </w:pPr>
            <w:r>
              <w:rPr>
                <w:rFonts w:hint="eastAsia" w:ascii="宋体" w:hAnsi="宋体"/>
                <w:color w:val="auto"/>
                <w:sz w:val="22"/>
              </w:rPr>
              <w:t>南园路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p>
            <w:pPr>
              <w:spacing w:line="360" w:lineRule="exact"/>
              <w:jc w:val="center"/>
              <w:rPr>
                <w:rFonts w:ascii="宋体"/>
                <w:color w:val="auto"/>
                <w:szCs w:val="21"/>
              </w:rPr>
            </w:pPr>
            <w:r>
              <w:rPr>
                <w:rFonts w:hint="eastAsia" w:ascii="宋体" w:hAnsi="宋体"/>
                <w:color w:val="auto"/>
                <w:szCs w:val="21"/>
              </w:rPr>
              <w:t>预应力小箱梁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20.0m +25.0m+2</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3517.4</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大桥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12</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219.8</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27</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南园路</w:t>
            </w:r>
            <w:r>
              <w:rPr>
                <w:rFonts w:ascii="宋体" w:hAnsi="宋体"/>
                <w:color w:val="auto"/>
                <w:sz w:val="22"/>
              </w:rPr>
              <w:t>3</w:t>
            </w:r>
            <w:r>
              <w:rPr>
                <w:rFonts w:hint="eastAsia" w:ascii="宋体" w:hAnsi="宋体"/>
                <w:color w:val="auto"/>
                <w:sz w:val="22"/>
              </w:rPr>
              <w:t>号中桥</w:t>
            </w:r>
          </w:p>
        </w:tc>
        <w:tc>
          <w:tcPr>
            <w:tcW w:w="1134" w:type="dxa"/>
            <w:vAlign w:val="center"/>
          </w:tcPr>
          <w:p>
            <w:pPr>
              <w:spacing w:line="360" w:lineRule="exact"/>
              <w:jc w:val="center"/>
              <w:rPr>
                <w:rFonts w:ascii="宋体"/>
                <w:color w:val="auto"/>
              </w:rPr>
            </w:pPr>
            <w:r>
              <w:rPr>
                <w:rFonts w:hint="eastAsia" w:ascii="宋体" w:hAnsi="宋体"/>
                <w:color w:val="auto"/>
                <w:sz w:val="22"/>
              </w:rPr>
              <w:t>南园路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880.6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48.9</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28</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南园路</w:t>
            </w:r>
            <w:r>
              <w:rPr>
                <w:rFonts w:ascii="宋体" w:hAnsi="宋体"/>
                <w:color w:val="auto"/>
                <w:sz w:val="22"/>
              </w:rPr>
              <w:t>4</w:t>
            </w:r>
            <w:r>
              <w:rPr>
                <w:rFonts w:hint="eastAsia" w:ascii="宋体" w:hAnsi="宋体"/>
                <w:color w:val="auto"/>
                <w:sz w:val="22"/>
              </w:rPr>
              <w:t>号中桥</w:t>
            </w:r>
          </w:p>
        </w:tc>
        <w:tc>
          <w:tcPr>
            <w:tcW w:w="1134" w:type="dxa"/>
            <w:vAlign w:val="center"/>
          </w:tcPr>
          <w:p>
            <w:pPr>
              <w:spacing w:line="360" w:lineRule="exact"/>
              <w:jc w:val="center"/>
              <w:rPr>
                <w:rFonts w:ascii="宋体"/>
                <w:color w:val="auto"/>
              </w:rPr>
            </w:pPr>
            <w:r>
              <w:rPr>
                <w:rFonts w:hint="eastAsia" w:ascii="宋体" w:hAnsi="宋体"/>
                <w:color w:val="auto"/>
                <w:sz w:val="22"/>
              </w:rPr>
              <w:t>南园路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880.6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48.9</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29</w:t>
            </w:r>
          </w:p>
        </w:tc>
        <w:tc>
          <w:tcPr>
            <w:tcW w:w="1843" w:type="dxa"/>
            <w:vAlign w:val="center"/>
          </w:tcPr>
          <w:p>
            <w:pPr>
              <w:spacing w:line="360" w:lineRule="exact"/>
              <w:jc w:val="center"/>
              <w:rPr>
                <w:rFonts w:ascii="宋体"/>
                <w:color w:val="auto"/>
                <w:sz w:val="22"/>
              </w:rPr>
            </w:pPr>
            <w:r>
              <w:rPr>
                <w:rFonts w:hint="eastAsia" w:ascii="宋体" w:hAnsi="宋体"/>
                <w:color w:val="auto"/>
                <w:sz w:val="22"/>
              </w:rPr>
              <w:t>茶石路</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sz w:val="22"/>
              </w:rPr>
              <w:t>茶石路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22.5m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2538</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8</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135</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30</w:t>
            </w:r>
          </w:p>
        </w:tc>
        <w:tc>
          <w:tcPr>
            <w:tcW w:w="1843" w:type="dxa"/>
            <w:vAlign w:val="center"/>
          </w:tcPr>
          <w:p>
            <w:pPr>
              <w:spacing w:line="360" w:lineRule="exact"/>
              <w:jc w:val="center"/>
              <w:rPr>
                <w:rFonts w:ascii="宋体"/>
                <w:color w:val="auto"/>
                <w:sz w:val="22"/>
              </w:rPr>
            </w:pPr>
            <w:r>
              <w:rPr>
                <w:rFonts w:hint="eastAsia" w:ascii="宋体" w:hAnsi="宋体"/>
                <w:color w:val="auto"/>
                <w:sz w:val="22"/>
              </w:rPr>
              <w:t>茶石路</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sz w:val="22"/>
              </w:rPr>
              <w:t>茶石路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18.5m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2086.8</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8</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111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31</w:t>
            </w:r>
          </w:p>
        </w:tc>
        <w:tc>
          <w:tcPr>
            <w:tcW w:w="1843" w:type="dxa"/>
            <w:vAlign w:val="center"/>
          </w:tcPr>
          <w:p>
            <w:pPr>
              <w:spacing w:line="360" w:lineRule="exact"/>
              <w:jc w:val="center"/>
              <w:rPr>
                <w:rFonts w:ascii="宋体"/>
                <w:color w:val="auto"/>
                <w:sz w:val="22"/>
              </w:rPr>
            </w:pPr>
            <w:r>
              <w:rPr>
                <w:rFonts w:hint="eastAsia" w:ascii="宋体" w:hAnsi="宋体"/>
                <w:color w:val="auto"/>
                <w:sz w:val="22"/>
              </w:rPr>
              <w:t>古村路中桥</w:t>
            </w:r>
          </w:p>
        </w:tc>
        <w:tc>
          <w:tcPr>
            <w:tcW w:w="1134" w:type="dxa"/>
            <w:vAlign w:val="center"/>
          </w:tcPr>
          <w:p>
            <w:pPr>
              <w:spacing w:line="360" w:lineRule="exact"/>
              <w:jc w:val="center"/>
              <w:rPr>
                <w:rFonts w:ascii="宋体"/>
                <w:color w:val="auto"/>
              </w:rPr>
            </w:pPr>
            <w:r>
              <w:rPr>
                <w:rFonts w:hint="eastAsia" w:ascii="宋体" w:hAnsi="宋体"/>
                <w:color w:val="auto"/>
                <w:sz w:val="22"/>
              </w:rPr>
              <w:t>古村路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预应力连续箱梁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17.5m+22.0m+17.5m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1824</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4</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114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32</w:t>
            </w:r>
          </w:p>
        </w:tc>
        <w:tc>
          <w:tcPr>
            <w:tcW w:w="1843" w:type="dxa"/>
            <w:vAlign w:val="center"/>
          </w:tcPr>
          <w:p>
            <w:pPr>
              <w:spacing w:line="360" w:lineRule="exact"/>
              <w:jc w:val="center"/>
              <w:rPr>
                <w:rFonts w:ascii="宋体"/>
                <w:color w:val="auto"/>
                <w:sz w:val="22"/>
              </w:rPr>
            </w:pPr>
            <w:r>
              <w:rPr>
                <w:rFonts w:hint="eastAsia" w:ascii="宋体" w:hAnsi="宋体"/>
                <w:color w:val="auto"/>
                <w:sz w:val="22"/>
              </w:rPr>
              <w:t>南畲朗中桥</w:t>
            </w:r>
          </w:p>
        </w:tc>
        <w:tc>
          <w:tcPr>
            <w:tcW w:w="1134" w:type="dxa"/>
            <w:vAlign w:val="center"/>
          </w:tcPr>
          <w:p>
            <w:pPr>
              <w:spacing w:line="360" w:lineRule="exact"/>
              <w:jc w:val="center"/>
              <w:rPr>
                <w:rFonts w:ascii="宋体"/>
                <w:color w:val="auto"/>
              </w:rPr>
            </w:pPr>
            <w:r>
              <w:rPr>
                <w:rFonts w:hint="eastAsia" w:ascii="宋体" w:hAnsi="宋体"/>
                <w:color w:val="auto"/>
                <w:sz w:val="22"/>
              </w:rPr>
              <w:t>古村路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预应力连续箱梁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17.5m+22.0m+17.5m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1824</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4</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114</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33</w:t>
            </w:r>
          </w:p>
        </w:tc>
        <w:tc>
          <w:tcPr>
            <w:tcW w:w="1843" w:type="dxa"/>
            <w:vAlign w:val="center"/>
          </w:tcPr>
          <w:p>
            <w:pPr>
              <w:spacing w:line="360" w:lineRule="exact"/>
              <w:jc w:val="center"/>
              <w:rPr>
                <w:rFonts w:ascii="宋体"/>
                <w:color w:val="auto"/>
                <w:sz w:val="22"/>
              </w:rPr>
            </w:pPr>
            <w:r>
              <w:rPr>
                <w:rFonts w:hint="eastAsia" w:ascii="宋体" w:hAnsi="宋体"/>
                <w:color w:val="auto"/>
                <w:sz w:val="22"/>
              </w:rPr>
              <w:t>生态园</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生态园大道</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3298.3</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Ⅰ等</w:t>
            </w:r>
          </w:p>
        </w:tc>
        <w:tc>
          <w:tcPr>
            <w:tcW w:w="1134" w:type="dxa"/>
            <w:vAlign w:val="center"/>
          </w:tcPr>
          <w:p>
            <w:pPr>
              <w:spacing w:line="360" w:lineRule="exact"/>
              <w:jc w:val="center"/>
              <w:rPr>
                <w:rFonts w:ascii="宋体"/>
                <w:color w:val="auto"/>
                <w:sz w:val="24"/>
              </w:rPr>
            </w:pPr>
            <w:r>
              <w:rPr>
                <w:rFonts w:ascii="宋体" w:hAnsi="宋体"/>
                <w:color w:val="auto"/>
              </w:rPr>
              <w:t>20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133.9</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34</w:t>
            </w:r>
          </w:p>
        </w:tc>
        <w:tc>
          <w:tcPr>
            <w:tcW w:w="1843" w:type="dxa"/>
            <w:vAlign w:val="center"/>
          </w:tcPr>
          <w:p>
            <w:pPr>
              <w:spacing w:line="360" w:lineRule="exact"/>
              <w:jc w:val="center"/>
              <w:rPr>
                <w:rFonts w:ascii="宋体"/>
                <w:color w:val="auto"/>
                <w:sz w:val="22"/>
              </w:rPr>
            </w:pPr>
            <w:r>
              <w:rPr>
                <w:rFonts w:hint="eastAsia" w:ascii="宋体" w:hAnsi="宋体"/>
                <w:color w:val="auto"/>
                <w:sz w:val="22"/>
              </w:rPr>
              <w:t>生态园</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生态园大道</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1787.9</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Ⅰ等</w:t>
            </w:r>
          </w:p>
        </w:tc>
        <w:tc>
          <w:tcPr>
            <w:tcW w:w="1134" w:type="dxa"/>
            <w:vAlign w:val="center"/>
          </w:tcPr>
          <w:p>
            <w:pPr>
              <w:spacing w:line="360" w:lineRule="exact"/>
              <w:jc w:val="center"/>
              <w:rPr>
                <w:rFonts w:ascii="宋体"/>
                <w:color w:val="auto"/>
                <w:sz w:val="24"/>
              </w:rPr>
            </w:pPr>
            <w:r>
              <w:rPr>
                <w:rFonts w:ascii="宋体" w:hAnsi="宋体"/>
                <w:color w:val="auto"/>
              </w:rPr>
              <w:t>8</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76.1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35</w:t>
            </w:r>
          </w:p>
        </w:tc>
        <w:tc>
          <w:tcPr>
            <w:tcW w:w="1843" w:type="dxa"/>
            <w:vAlign w:val="center"/>
          </w:tcPr>
          <w:p>
            <w:pPr>
              <w:spacing w:line="360" w:lineRule="exact"/>
              <w:jc w:val="center"/>
              <w:rPr>
                <w:rFonts w:ascii="宋体"/>
                <w:color w:val="auto"/>
                <w:sz w:val="22"/>
              </w:rPr>
            </w:pPr>
            <w:r>
              <w:rPr>
                <w:rFonts w:hint="eastAsia" w:ascii="宋体" w:hAnsi="宋体"/>
                <w:color w:val="auto"/>
                <w:sz w:val="22"/>
              </w:rPr>
              <w:t>生态园</w:t>
            </w:r>
            <w:r>
              <w:rPr>
                <w:rFonts w:ascii="宋体" w:hAnsi="宋体"/>
                <w:color w:val="auto"/>
                <w:sz w:val="22"/>
              </w:rPr>
              <w:t>3</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生态园大道</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3252.5</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Ⅰ等</w:t>
            </w:r>
          </w:p>
        </w:tc>
        <w:tc>
          <w:tcPr>
            <w:tcW w:w="1134" w:type="dxa"/>
            <w:vAlign w:val="center"/>
          </w:tcPr>
          <w:p>
            <w:pPr>
              <w:spacing w:line="360" w:lineRule="exact"/>
              <w:jc w:val="center"/>
              <w:rPr>
                <w:rFonts w:ascii="宋体"/>
                <w:color w:val="auto"/>
                <w:sz w:val="24"/>
              </w:rPr>
            </w:pPr>
            <w:r>
              <w:rPr>
                <w:rFonts w:ascii="宋体" w:hAnsi="宋体"/>
                <w:color w:val="auto"/>
              </w:rPr>
              <w:t>20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132</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36</w:t>
            </w:r>
          </w:p>
        </w:tc>
        <w:tc>
          <w:tcPr>
            <w:tcW w:w="1843" w:type="dxa"/>
            <w:vAlign w:val="center"/>
          </w:tcPr>
          <w:p>
            <w:pPr>
              <w:spacing w:line="360" w:lineRule="exact"/>
              <w:jc w:val="center"/>
              <w:rPr>
                <w:rFonts w:ascii="宋体"/>
                <w:color w:val="auto"/>
                <w:sz w:val="22"/>
              </w:rPr>
            </w:pPr>
            <w:r>
              <w:rPr>
                <w:rFonts w:hint="eastAsia" w:ascii="宋体" w:hAnsi="宋体"/>
                <w:color w:val="auto"/>
                <w:sz w:val="22"/>
              </w:rPr>
              <w:t>节制闸</w:t>
            </w:r>
            <w:r>
              <w:rPr>
                <w:rFonts w:ascii="宋体" w:hAnsi="宋体"/>
                <w:color w:val="auto"/>
                <w:sz w:val="22"/>
              </w:rPr>
              <w:t>1</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月湖路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混凝土实心板</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9</w:t>
            </w:r>
            <w:r>
              <w:rPr>
                <w:rFonts w:hint="eastAsia" w:ascii="宋体" w:hAnsi="宋体"/>
                <w:color w:val="auto"/>
                <w:szCs w:val="21"/>
              </w:rPr>
              <w:t>×</w:t>
            </w:r>
            <w:r>
              <w:rPr>
                <w:rFonts w:ascii="宋体" w:hAnsi="宋体"/>
                <w:color w:val="auto"/>
                <w:szCs w:val="21"/>
              </w:rPr>
              <w:t>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216</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Ⅲ等</w:t>
            </w:r>
          </w:p>
        </w:tc>
        <w:tc>
          <w:tcPr>
            <w:tcW w:w="1134" w:type="dxa"/>
            <w:vAlign w:val="center"/>
          </w:tcPr>
          <w:p>
            <w:pPr>
              <w:spacing w:line="360" w:lineRule="exact"/>
              <w:jc w:val="center"/>
              <w:rPr>
                <w:rFonts w:ascii="宋体"/>
                <w:color w:val="auto"/>
                <w:sz w:val="24"/>
              </w:rPr>
            </w:pPr>
            <w:r>
              <w:rPr>
                <w:rFonts w:ascii="宋体" w:hAnsi="宋体"/>
                <w:color w:val="auto"/>
              </w:rPr>
              <w:t>20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108</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木护栏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37</w:t>
            </w:r>
          </w:p>
        </w:tc>
        <w:tc>
          <w:tcPr>
            <w:tcW w:w="1843" w:type="dxa"/>
            <w:vAlign w:val="center"/>
          </w:tcPr>
          <w:p>
            <w:pPr>
              <w:spacing w:line="360" w:lineRule="exact"/>
              <w:jc w:val="center"/>
              <w:rPr>
                <w:rFonts w:ascii="宋体"/>
                <w:color w:val="auto"/>
                <w:sz w:val="22"/>
              </w:rPr>
            </w:pPr>
            <w:r>
              <w:rPr>
                <w:rFonts w:hint="eastAsia" w:ascii="宋体" w:hAnsi="宋体"/>
                <w:color w:val="auto"/>
                <w:sz w:val="22"/>
              </w:rPr>
              <w:t>节制闸</w:t>
            </w:r>
            <w:r>
              <w:rPr>
                <w:rFonts w:ascii="宋体" w:hAnsi="宋体"/>
                <w:color w:val="auto"/>
                <w:sz w:val="22"/>
              </w:rPr>
              <w:t>2</w:t>
            </w:r>
            <w:r>
              <w:rPr>
                <w:rFonts w:hint="eastAsia" w:ascii="宋体" w:hAnsi="宋体"/>
                <w:color w:val="auto"/>
                <w:sz w:val="22"/>
              </w:rPr>
              <w:t>号桥</w:t>
            </w:r>
          </w:p>
        </w:tc>
        <w:tc>
          <w:tcPr>
            <w:tcW w:w="1134" w:type="dxa"/>
            <w:vAlign w:val="center"/>
          </w:tcPr>
          <w:p>
            <w:pPr>
              <w:spacing w:line="360" w:lineRule="exact"/>
              <w:jc w:val="center"/>
              <w:rPr>
                <w:rFonts w:ascii="宋体"/>
                <w:color w:val="auto"/>
              </w:rPr>
            </w:pPr>
            <w:r>
              <w:rPr>
                <w:rFonts w:hint="eastAsia" w:ascii="宋体" w:hAnsi="宋体"/>
                <w:color w:val="auto"/>
              </w:rPr>
              <w:t>古村路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20.0m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140</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Ⅲ等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40</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木护栏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38</w:t>
            </w:r>
          </w:p>
        </w:tc>
        <w:tc>
          <w:tcPr>
            <w:tcW w:w="1843" w:type="dxa"/>
            <w:vAlign w:val="center"/>
          </w:tcPr>
          <w:p>
            <w:pPr>
              <w:spacing w:line="360" w:lineRule="exact"/>
              <w:jc w:val="center"/>
              <w:rPr>
                <w:rFonts w:ascii="宋体"/>
                <w:color w:val="auto"/>
                <w:sz w:val="22"/>
              </w:rPr>
            </w:pPr>
            <w:r>
              <w:rPr>
                <w:rFonts w:hint="eastAsia" w:ascii="宋体" w:hAnsi="宋体"/>
                <w:color w:val="auto"/>
                <w:sz w:val="22"/>
              </w:rPr>
              <w:t>绿道中桥</w:t>
            </w:r>
          </w:p>
        </w:tc>
        <w:tc>
          <w:tcPr>
            <w:tcW w:w="1134" w:type="dxa"/>
            <w:vAlign w:val="center"/>
          </w:tcPr>
          <w:p>
            <w:pPr>
              <w:spacing w:line="360" w:lineRule="exact"/>
              <w:jc w:val="center"/>
              <w:rPr>
                <w:rFonts w:ascii="宋体"/>
                <w:color w:val="auto"/>
              </w:rPr>
            </w:pPr>
            <w:r>
              <w:rPr>
                <w:rFonts w:hint="eastAsia" w:ascii="宋体" w:hAnsi="宋体"/>
                <w:color w:val="auto"/>
              </w:rPr>
              <w:t>古村路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378</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4</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108</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木护栏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39</w:t>
            </w:r>
          </w:p>
        </w:tc>
        <w:tc>
          <w:tcPr>
            <w:tcW w:w="1843" w:type="dxa"/>
            <w:vAlign w:val="center"/>
          </w:tcPr>
          <w:p>
            <w:pPr>
              <w:spacing w:line="360" w:lineRule="exact"/>
              <w:jc w:val="center"/>
              <w:rPr>
                <w:rFonts w:ascii="宋体"/>
                <w:color w:val="auto"/>
                <w:sz w:val="22"/>
              </w:rPr>
            </w:pPr>
            <w:r>
              <w:rPr>
                <w:rFonts w:hint="eastAsia" w:ascii="宋体" w:hAnsi="宋体"/>
                <w:color w:val="auto"/>
                <w:sz w:val="22"/>
              </w:rPr>
              <w:t>新湖路中桥</w:t>
            </w:r>
          </w:p>
        </w:tc>
        <w:tc>
          <w:tcPr>
            <w:tcW w:w="1134" w:type="dxa"/>
            <w:vAlign w:val="center"/>
          </w:tcPr>
          <w:p>
            <w:pPr>
              <w:spacing w:line="360" w:lineRule="exact"/>
              <w:jc w:val="center"/>
              <w:rPr>
                <w:rFonts w:ascii="宋体"/>
                <w:color w:val="auto"/>
              </w:rPr>
            </w:pPr>
            <w:r>
              <w:rPr>
                <w:rFonts w:hint="eastAsia" w:ascii="宋体" w:hAnsi="宋体"/>
                <w:color w:val="auto"/>
              </w:rPr>
              <w:t>新湖路</w:t>
            </w: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16.0m</w:t>
            </w:r>
          </w:p>
        </w:tc>
        <w:tc>
          <w:tcPr>
            <w:tcW w:w="1559"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1847.1</w:t>
            </w:r>
          </w:p>
        </w:tc>
        <w:tc>
          <w:tcPr>
            <w:tcW w:w="1134" w:type="dxa"/>
            <w:vAlign w:val="center"/>
          </w:tcPr>
          <w:p>
            <w:pPr>
              <w:spacing w:line="360" w:lineRule="exact"/>
              <w:jc w:val="center"/>
              <w:rPr>
                <w:rFonts w:ascii="宋体"/>
                <w:color w:val="auto"/>
                <w:szCs w:val="21"/>
              </w:rPr>
            </w:pPr>
            <w:r>
              <w:rPr>
                <w:rFonts w:hint="eastAsia" w:ascii="宋体" w:hAnsi="宋体"/>
                <w:color w:val="auto"/>
                <w:szCs w:val="21"/>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中桥</w:t>
            </w:r>
          </w:p>
        </w:tc>
        <w:tc>
          <w:tcPr>
            <w:tcW w:w="1134" w:type="dxa"/>
            <w:vAlign w:val="center"/>
          </w:tcPr>
          <w:p>
            <w:pPr>
              <w:spacing w:line="360" w:lineRule="exact"/>
              <w:jc w:val="center"/>
              <w:rPr>
                <w:rFonts w:ascii="宋体"/>
                <w:color w:val="auto"/>
                <w:sz w:val="18"/>
                <w:szCs w:val="18"/>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12</w:t>
            </w:r>
          </w:p>
        </w:tc>
        <w:tc>
          <w:tcPr>
            <w:tcW w:w="1134" w:type="dxa"/>
            <w:vAlign w:val="center"/>
          </w:tcPr>
          <w:p>
            <w:pPr>
              <w:spacing w:line="360" w:lineRule="exact"/>
              <w:jc w:val="center"/>
              <w:rPr>
                <w:rFonts w:ascii="宋体" w:hAnsi="宋体"/>
                <w:color w:val="auto"/>
                <w:kern w:val="0"/>
                <w:sz w:val="18"/>
                <w:szCs w:val="18"/>
              </w:rPr>
            </w:pPr>
            <w:r>
              <w:rPr>
                <w:rFonts w:ascii="宋体" w:hAnsi="宋体"/>
                <w:color w:val="auto"/>
                <w:kern w:val="0"/>
                <w:sz w:val="18"/>
                <w:szCs w:val="18"/>
              </w:rPr>
              <w:t>107.1</w:t>
            </w:r>
          </w:p>
        </w:tc>
        <w:tc>
          <w:tcPr>
            <w:tcW w:w="975" w:type="dxa"/>
            <w:vAlign w:val="center"/>
          </w:tcPr>
          <w:p>
            <w:pPr>
              <w:widowControl/>
              <w:spacing w:line="360" w:lineRule="exact"/>
              <w:jc w:val="center"/>
              <w:rPr>
                <w:rFonts w:ascii="宋体"/>
                <w:color w:val="auto"/>
                <w:kern w:val="0"/>
                <w:sz w:val="20"/>
                <w:szCs w:val="20"/>
              </w:rPr>
            </w:pPr>
            <w:r>
              <w:rPr>
                <w:rFonts w:hint="eastAsia" w:ascii="宋体" w:hAnsi="宋体"/>
                <w:color w:val="auto"/>
                <w:sz w:val="20"/>
                <w:szCs w:val="20"/>
              </w:rPr>
              <w:t>钢护栏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40</w:t>
            </w:r>
          </w:p>
        </w:tc>
        <w:tc>
          <w:tcPr>
            <w:tcW w:w="1843" w:type="dxa"/>
            <w:vAlign w:val="center"/>
          </w:tcPr>
          <w:p>
            <w:pPr>
              <w:spacing w:line="360" w:lineRule="exact"/>
              <w:jc w:val="center"/>
              <w:rPr>
                <w:rFonts w:ascii="宋体"/>
                <w:color w:val="auto"/>
                <w:sz w:val="22"/>
              </w:rPr>
            </w:pPr>
            <w:r>
              <w:rPr>
                <w:rFonts w:hint="eastAsia" w:ascii="宋体" w:hAnsi="宋体"/>
                <w:color w:val="auto"/>
                <w:sz w:val="22"/>
              </w:rPr>
              <w:t>月绿中桥</w:t>
            </w:r>
          </w:p>
        </w:tc>
        <w:tc>
          <w:tcPr>
            <w:tcW w:w="1134" w:type="dxa"/>
            <w:vAlign w:val="center"/>
          </w:tcPr>
          <w:p>
            <w:pPr>
              <w:spacing w:line="360" w:lineRule="exact"/>
              <w:jc w:val="center"/>
              <w:rPr>
                <w:rFonts w:ascii="宋体"/>
                <w:color w:val="auto"/>
              </w:rPr>
            </w:pP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3</w:t>
            </w:r>
            <w:r>
              <w:rPr>
                <w:rFonts w:hint="eastAsia" w:ascii="宋体" w:hAnsi="宋体"/>
                <w:color w:val="auto"/>
                <w:szCs w:val="21"/>
              </w:rPr>
              <w:t>×</w:t>
            </w:r>
            <w:r>
              <w:rPr>
                <w:rFonts w:ascii="宋体" w:hAnsi="宋体"/>
                <w:color w:val="auto"/>
                <w:szCs w:val="21"/>
              </w:rPr>
              <w:t>13.0m</w:t>
            </w:r>
          </w:p>
        </w:tc>
        <w:tc>
          <w:tcPr>
            <w:tcW w:w="1559" w:type="dxa"/>
            <w:vAlign w:val="center"/>
          </w:tcPr>
          <w:p>
            <w:pPr>
              <w:spacing w:line="360" w:lineRule="exact"/>
              <w:jc w:val="center"/>
              <w:rPr>
                <w:rFonts w:ascii="宋体"/>
                <w:color w:val="auto"/>
                <w:kern w:val="0"/>
                <w:sz w:val="18"/>
                <w:szCs w:val="18"/>
              </w:rPr>
            </w:pPr>
          </w:p>
        </w:tc>
        <w:tc>
          <w:tcPr>
            <w:tcW w:w="1134" w:type="dxa"/>
            <w:vAlign w:val="center"/>
          </w:tcPr>
          <w:p>
            <w:pPr>
              <w:spacing w:line="360" w:lineRule="exact"/>
              <w:jc w:val="center"/>
              <w:rPr>
                <w:rFonts w:ascii="宋体"/>
                <w:color w:val="auto"/>
                <w:kern w:val="0"/>
                <w:sz w:val="18"/>
                <w:szCs w:val="18"/>
              </w:rPr>
            </w:pPr>
            <w:r>
              <w:rPr>
                <w:rFonts w:hint="eastAsia" w:ascii="宋体" w:hAnsi="宋体"/>
                <w:color w:val="auto"/>
                <w:sz w:val="18"/>
                <w:szCs w:val="18"/>
              </w:rPr>
              <w:t>跨河桥</w:t>
            </w:r>
          </w:p>
        </w:tc>
        <w:tc>
          <w:tcPr>
            <w:tcW w:w="851" w:type="dxa"/>
            <w:vAlign w:val="center"/>
          </w:tcPr>
          <w:p>
            <w:pPr>
              <w:spacing w:line="360" w:lineRule="exact"/>
              <w:jc w:val="center"/>
              <w:rPr>
                <w:rFonts w:ascii="宋体"/>
                <w:color w:val="auto"/>
                <w:kern w:val="0"/>
                <w:sz w:val="18"/>
                <w:szCs w:val="18"/>
              </w:rPr>
            </w:pPr>
            <w:r>
              <w:rPr>
                <w:rFonts w:hint="eastAsia" w:ascii="宋体" w:hAnsi="宋体"/>
                <w:color w:val="auto"/>
                <w:sz w:val="18"/>
                <w:szCs w:val="18"/>
              </w:rPr>
              <w:t>中桥</w:t>
            </w:r>
          </w:p>
        </w:tc>
        <w:tc>
          <w:tcPr>
            <w:tcW w:w="1134" w:type="dxa"/>
            <w:vAlign w:val="center"/>
          </w:tcPr>
          <w:p>
            <w:pPr>
              <w:spacing w:line="360" w:lineRule="exact"/>
              <w:jc w:val="center"/>
              <w:rPr>
                <w:rFonts w:ascii="宋体"/>
                <w:color w:val="auto"/>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hAnsi="宋体"/>
                <w:color w:val="auto"/>
              </w:rPr>
              <w:t>9</w:t>
            </w:r>
          </w:p>
        </w:tc>
        <w:tc>
          <w:tcPr>
            <w:tcW w:w="1134" w:type="dxa"/>
            <w:vAlign w:val="center"/>
          </w:tcPr>
          <w:p>
            <w:pPr>
              <w:spacing w:line="360" w:lineRule="exact"/>
              <w:jc w:val="center"/>
              <w:rPr>
                <w:rFonts w:ascii="宋体"/>
                <w:color w:val="auto"/>
                <w:kern w:val="0"/>
                <w:sz w:val="18"/>
                <w:szCs w:val="18"/>
              </w:rPr>
            </w:pPr>
          </w:p>
        </w:tc>
        <w:tc>
          <w:tcPr>
            <w:tcW w:w="975" w:type="dxa"/>
            <w:vAlign w:val="center"/>
          </w:tcPr>
          <w:p>
            <w:pPr>
              <w:widowControl/>
              <w:spacing w:line="360" w:lineRule="exact"/>
              <w:jc w:val="center"/>
              <w:rPr>
                <w:rFonts w:ascii="宋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41</w:t>
            </w:r>
          </w:p>
        </w:tc>
        <w:tc>
          <w:tcPr>
            <w:tcW w:w="1843" w:type="dxa"/>
            <w:vAlign w:val="center"/>
          </w:tcPr>
          <w:p>
            <w:pPr>
              <w:spacing w:line="360" w:lineRule="exact"/>
              <w:jc w:val="center"/>
              <w:rPr>
                <w:rFonts w:ascii="宋体"/>
                <w:color w:val="auto"/>
                <w:sz w:val="22"/>
              </w:rPr>
            </w:pPr>
            <w:r>
              <w:rPr>
                <w:rFonts w:hint="eastAsia" w:ascii="宋体" w:hAnsi="宋体"/>
                <w:color w:val="auto"/>
                <w:sz w:val="22"/>
              </w:rPr>
              <w:t>绿道</w:t>
            </w:r>
            <w:r>
              <w:rPr>
                <w:rFonts w:ascii="宋体" w:hAnsi="宋体"/>
                <w:color w:val="auto"/>
                <w:sz w:val="22"/>
              </w:rPr>
              <w:t>1#</w:t>
            </w:r>
            <w:r>
              <w:rPr>
                <w:rFonts w:hint="eastAsia" w:ascii="宋体" w:hAnsi="宋体"/>
                <w:color w:val="auto"/>
                <w:sz w:val="22"/>
              </w:rPr>
              <w:t>桥</w:t>
            </w:r>
          </w:p>
        </w:tc>
        <w:tc>
          <w:tcPr>
            <w:tcW w:w="1134" w:type="dxa"/>
            <w:vAlign w:val="center"/>
          </w:tcPr>
          <w:p>
            <w:pPr>
              <w:spacing w:line="360" w:lineRule="exact"/>
              <w:jc w:val="center"/>
              <w:rPr>
                <w:rFonts w:ascii="宋体"/>
                <w:color w:val="auto"/>
              </w:rPr>
            </w:pP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13.0m</w:t>
            </w:r>
          </w:p>
        </w:tc>
        <w:tc>
          <w:tcPr>
            <w:tcW w:w="1559" w:type="dxa"/>
            <w:vAlign w:val="center"/>
          </w:tcPr>
          <w:p>
            <w:pPr>
              <w:spacing w:line="360" w:lineRule="exact"/>
              <w:jc w:val="center"/>
              <w:rPr>
                <w:rFonts w:ascii="宋体"/>
                <w:color w:val="auto"/>
                <w:kern w:val="0"/>
                <w:sz w:val="18"/>
                <w:szCs w:val="18"/>
              </w:rPr>
            </w:pPr>
          </w:p>
        </w:tc>
        <w:tc>
          <w:tcPr>
            <w:tcW w:w="1134" w:type="dxa"/>
            <w:vAlign w:val="center"/>
          </w:tcPr>
          <w:p>
            <w:pPr>
              <w:spacing w:line="360" w:lineRule="exact"/>
              <w:jc w:val="center"/>
              <w:rPr>
                <w:rFonts w:ascii="宋体"/>
                <w:color w:val="auto"/>
                <w:kern w:val="0"/>
                <w:sz w:val="18"/>
                <w:szCs w:val="18"/>
              </w:rPr>
            </w:pPr>
            <w:r>
              <w:rPr>
                <w:rFonts w:hint="eastAsia" w:ascii="宋体" w:hAnsi="宋体"/>
                <w:color w:val="auto"/>
                <w:sz w:val="18"/>
                <w:szCs w:val="18"/>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小桥</w:t>
            </w:r>
          </w:p>
        </w:tc>
        <w:tc>
          <w:tcPr>
            <w:tcW w:w="1134" w:type="dxa"/>
            <w:vAlign w:val="center"/>
          </w:tcPr>
          <w:p>
            <w:pPr>
              <w:spacing w:line="360" w:lineRule="exact"/>
              <w:jc w:val="center"/>
              <w:rPr>
                <w:rFonts w:ascii="宋体"/>
                <w:color w:val="auto"/>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color w:val="auto"/>
                <w:kern w:val="0"/>
                <w:sz w:val="18"/>
                <w:szCs w:val="18"/>
              </w:rPr>
            </w:pPr>
          </w:p>
        </w:tc>
        <w:tc>
          <w:tcPr>
            <w:tcW w:w="975" w:type="dxa"/>
            <w:vAlign w:val="center"/>
          </w:tcPr>
          <w:p>
            <w:pPr>
              <w:widowControl/>
              <w:spacing w:line="360" w:lineRule="exact"/>
              <w:jc w:val="center"/>
              <w:rPr>
                <w:rFonts w:ascii="宋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42</w:t>
            </w:r>
          </w:p>
        </w:tc>
        <w:tc>
          <w:tcPr>
            <w:tcW w:w="1843" w:type="dxa"/>
            <w:vAlign w:val="center"/>
          </w:tcPr>
          <w:p>
            <w:pPr>
              <w:spacing w:line="360" w:lineRule="exact"/>
              <w:jc w:val="center"/>
              <w:rPr>
                <w:rFonts w:ascii="宋体"/>
                <w:color w:val="auto"/>
                <w:sz w:val="22"/>
              </w:rPr>
            </w:pPr>
            <w:r>
              <w:rPr>
                <w:rFonts w:hint="eastAsia" w:ascii="宋体" w:hAnsi="宋体"/>
                <w:color w:val="auto"/>
                <w:sz w:val="22"/>
              </w:rPr>
              <w:t>绿道</w:t>
            </w:r>
            <w:r>
              <w:rPr>
                <w:rFonts w:ascii="宋体" w:hAnsi="宋体"/>
                <w:color w:val="auto"/>
                <w:sz w:val="22"/>
              </w:rPr>
              <w:t>2#</w:t>
            </w:r>
            <w:r>
              <w:rPr>
                <w:rFonts w:hint="eastAsia" w:ascii="宋体" w:hAnsi="宋体"/>
                <w:color w:val="auto"/>
                <w:sz w:val="22"/>
              </w:rPr>
              <w:t>桥</w:t>
            </w:r>
          </w:p>
        </w:tc>
        <w:tc>
          <w:tcPr>
            <w:tcW w:w="1134" w:type="dxa"/>
            <w:vAlign w:val="center"/>
          </w:tcPr>
          <w:p>
            <w:pPr>
              <w:spacing w:line="360" w:lineRule="exact"/>
              <w:jc w:val="center"/>
              <w:rPr>
                <w:rFonts w:ascii="宋体"/>
                <w:color w:val="auto"/>
              </w:rPr>
            </w:pP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13.0m</w:t>
            </w:r>
          </w:p>
        </w:tc>
        <w:tc>
          <w:tcPr>
            <w:tcW w:w="1559" w:type="dxa"/>
            <w:vAlign w:val="center"/>
          </w:tcPr>
          <w:p>
            <w:pPr>
              <w:spacing w:line="360" w:lineRule="exact"/>
              <w:jc w:val="center"/>
              <w:rPr>
                <w:rFonts w:ascii="宋体"/>
                <w:color w:val="auto"/>
                <w:kern w:val="0"/>
                <w:sz w:val="18"/>
                <w:szCs w:val="18"/>
              </w:rPr>
            </w:pPr>
          </w:p>
        </w:tc>
        <w:tc>
          <w:tcPr>
            <w:tcW w:w="1134" w:type="dxa"/>
            <w:vAlign w:val="center"/>
          </w:tcPr>
          <w:p>
            <w:pPr>
              <w:spacing w:line="360" w:lineRule="exact"/>
              <w:jc w:val="center"/>
              <w:rPr>
                <w:rFonts w:ascii="宋体"/>
                <w:color w:val="auto"/>
                <w:kern w:val="0"/>
                <w:sz w:val="18"/>
                <w:szCs w:val="18"/>
              </w:rPr>
            </w:pPr>
            <w:r>
              <w:rPr>
                <w:rFonts w:hint="eastAsia" w:ascii="宋体" w:hAnsi="宋体"/>
                <w:color w:val="auto"/>
                <w:sz w:val="18"/>
                <w:szCs w:val="18"/>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小桥</w:t>
            </w:r>
          </w:p>
        </w:tc>
        <w:tc>
          <w:tcPr>
            <w:tcW w:w="1134" w:type="dxa"/>
            <w:vAlign w:val="center"/>
          </w:tcPr>
          <w:p>
            <w:pPr>
              <w:spacing w:line="360" w:lineRule="exact"/>
              <w:jc w:val="center"/>
              <w:rPr>
                <w:rFonts w:ascii="宋体"/>
                <w:color w:val="auto"/>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color w:val="auto"/>
                <w:kern w:val="0"/>
                <w:sz w:val="18"/>
                <w:szCs w:val="18"/>
              </w:rPr>
            </w:pPr>
          </w:p>
        </w:tc>
        <w:tc>
          <w:tcPr>
            <w:tcW w:w="975" w:type="dxa"/>
            <w:vAlign w:val="center"/>
          </w:tcPr>
          <w:p>
            <w:pPr>
              <w:widowControl/>
              <w:spacing w:line="360" w:lineRule="exact"/>
              <w:jc w:val="center"/>
              <w:rPr>
                <w:rFonts w:ascii="宋体"/>
                <w:color w:val="auto"/>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62" w:hRule="atLeast"/>
          <w:jc w:val="center"/>
        </w:trPr>
        <w:tc>
          <w:tcPr>
            <w:tcW w:w="478" w:type="dxa"/>
            <w:vAlign w:val="center"/>
          </w:tcPr>
          <w:p>
            <w:pPr>
              <w:widowControl/>
              <w:spacing w:line="360" w:lineRule="exact"/>
              <w:jc w:val="center"/>
              <w:rPr>
                <w:rFonts w:ascii="宋体" w:hAnsi="宋体"/>
                <w:color w:val="auto"/>
                <w:kern w:val="0"/>
                <w:sz w:val="20"/>
                <w:szCs w:val="20"/>
              </w:rPr>
            </w:pPr>
            <w:r>
              <w:rPr>
                <w:rFonts w:ascii="宋体" w:hAnsi="宋体"/>
                <w:color w:val="auto"/>
                <w:kern w:val="0"/>
                <w:sz w:val="20"/>
                <w:szCs w:val="20"/>
              </w:rPr>
              <w:t>43</w:t>
            </w:r>
          </w:p>
        </w:tc>
        <w:tc>
          <w:tcPr>
            <w:tcW w:w="1843" w:type="dxa"/>
            <w:vAlign w:val="center"/>
          </w:tcPr>
          <w:p>
            <w:pPr>
              <w:spacing w:line="360" w:lineRule="exact"/>
              <w:jc w:val="center"/>
              <w:rPr>
                <w:rFonts w:ascii="宋体"/>
                <w:color w:val="auto"/>
                <w:sz w:val="22"/>
              </w:rPr>
            </w:pPr>
            <w:r>
              <w:rPr>
                <w:rFonts w:hint="eastAsia" w:ascii="宋体" w:hAnsi="宋体"/>
                <w:color w:val="auto"/>
                <w:sz w:val="22"/>
              </w:rPr>
              <w:t>绿道</w:t>
            </w:r>
            <w:r>
              <w:rPr>
                <w:rFonts w:ascii="宋体" w:hAnsi="宋体"/>
                <w:color w:val="auto"/>
                <w:sz w:val="22"/>
              </w:rPr>
              <w:t>3#</w:t>
            </w:r>
            <w:r>
              <w:rPr>
                <w:rFonts w:hint="eastAsia" w:ascii="宋体" w:hAnsi="宋体"/>
                <w:color w:val="auto"/>
                <w:sz w:val="22"/>
              </w:rPr>
              <w:t>桥</w:t>
            </w:r>
          </w:p>
        </w:tc>
        <w:tc>
          <w:tcPr>
            <w:tcW w:w="1134" w:type="dxa"/>
            <w:vAlign w:val="center"/>
          </w:tcPr>
          <w:p>
            <w:pPr>
              <w:spacing w:line="360" w:lineRule="exact"/>
              <w:jc w:val="center"/>
              <w:rPr>
                <w:rFonts w:ascii="宋体"/>
                <w:color w:val="auto"/>
              </w:rPr>
            </w:pPr>
          </w:p>
        </w:tc>
        <w:tc>
          <w:tcPr>
            <w:tcW w:w="1701" w:type="dxa"/>
            <w:vAlign w:val="center"/>
          </w:tcPr>
          <w:p>
            <w:pPr>
              <w:spacing w:line="360" w:lineRule="exact"/>
              <w:jc w:val="center"/>
              <w:rPr>
                <w:rFonts w:ascii="宋体"/>
                <w:color w:val="auto"/>
                <w:szCs w:val="21"/>
              </w:rPr>
            </w:pPr>
            <w:r>
              <w:rPr>
                <w:rFonts w:hint="eastAsia" w:ascii="宋体" w:hAnsi="宋体"/>
                <w:color w:val="auto"/>
                <w:szCs w:val="21"/>
              </w:rPr>
              <w:t>预应力空心板梁</w:t>
            </w:r>
          </w:p>
        </w:tc>
        <w:tc>
          <w:tcPr>
            <w:tcW w:w="1418" w:type="dxa"/>
            <w:vAlign w:val="center"/>
          </w:tcPr>
          <w:p>
            <w:pPr>
              <w:spacing w:line="360" w:lineRule="exact"/>
              <w:jc w:val="center"/>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13.0m</w:t>
            </w:r>
          </w:p>
        </w:tc>
        <w:tc>
          <w:tcPr>
            <w:tcW w:w="1559" w:type="dxa"/>
            <w:vAlign w:val="center"/>
          </w:tcPr>
          <w:p>
            <w:pPr>
              <w:spacing w:line="360" w:lineRule="exact"/>
              <w:jc w:val="center"/>
              <w:rPr>
                <w:rFonts w:ascii="宋体"/>
                <w:color w:val="auto"/>
                <w:kern w:val="0"/>
                <w:sz w:val="18"/>
                <w:szCs w:val="18"/>
              </w:rPr>
            </w:pPr>
          </w:p>
        </w:tc>
        <w:tc>
          <w:tcPr>
            <w:tcW w:w="1134" w:type="dxa"/>
            <w:vAlign w:val="center"/>
          </w:tcPr>
          <w:p>
            <w:pPr>
              <w:spacing w:line="360" w:lineRule="exact"/>
              <w:jc w:val="center"/>
              <w:rPr>
                <w:rFonts w:ascii="宋体"/>
                <w:color w:val="auto"/>
                <w:kern w:val="0"/>
                <w:sz w:val="18"/>
                <w:szCs w:val="18"/>
              </w:rPr>
            </w:pPr>
            <w:r>
              <w:rPr>
                <w:rFonts w:hint="eastAsia" w:ascii="宋体" w:hAnsi="宋体"/>
                <w:color w:val="auto"/>
                <w:sz w:val="18"/>
                <w:szCs w:val="18"/>
              </w:rPr>
              <w:t>跨河桥</w:t>
            </w:r>
          </w:p>
        </w:tc>
        <w:tc>
          <w:tcPr>
            <w:tcW w:w="851" w:type="dxa"/>
            <w:vAlign w:val="center"/>
          </w:tcPr>
          <w:p>
            <w:pPr>
              <w:spacing w:line="360" w:lineRule="exact"/>
              <w:jc w:val="center"/>
              <w:rPr>
                <w:rFonts w:ascii="宋体"/>
                <w:color w:val="auto"/>
                <w:szCs w:val="21"/>
              </w:rPr>
            </w:pPr>
            <w:r>
              <w:rPr>
                <w:rFonts w:hint="eastAsia" w:ascii="宋体" w:hAnsi="宋体"/>
                <w:color w:val="auto"/>
                <w:szCs w:val="21"/>
              </w:rPr>
              <w:t>小桥</w:t>
            </w:r>
          </w:p>
        </w:tc>
        <w:tc>
          <w:tcPr>
            <w:tcW w:w="1134" w:type="dxa"/>
            <w:vAlign w:val="center"/>
          </w:tcPr>
          <w:p>
            <w:pPr>
              <w:spacing w:line="360" w:lineRule="exact"/>
              <w:jc w:val="center"/>
              <w:rPr>
                <w:rFonts w:ascii="宋体"/>
                <w:color w:val="auto"/>
              </w:rPr>
            </w:pPr>
            <w:r>
              <w:rPr>
                <w:rFonts w:hint="eastAsia" w:ascii="宋体" w:hAnsi="宋体"/>
                <w:color w:val="auto"/>
                <w:sz w:val="18"/>
                <w:szCs w:val="18"/>
              </w:rPr>
              <w:t>Ⅱ等</w:t>
            </w:r>
          </w:p>
        </w:tc>
        <w:tc>
          <w:tcPr>
            <w:tcW w:w="1134" w:type="dxa"/>
            <w:vAlign w:val="center"/>
          </w:tcPr>
          <w:p>
            <w:pPr>
              <w:spacing w:line="360" w:lineRule="exact"/>
              <w:jc w:val="center"/>
              <w:rPr>
                <w:rFonts w:ascii="宋体"/>
                <w:color w:val="auto"/>
                <w:sz w:val="24"/>
              </w:rPr>
            </w:pPr>
            <w:r>
              <w:rPr>
                <w:rFonts w:ascii="宋体"/>
                <w:color w:val="auto"/>
              </w:rPr>
              <w:t>0</w:t>
            </w:r>
          </w:p>
        </w:tc>
        <w:tc>
          <w:tcPr>
            <w:tcW w:w="1134" w:type="dxa"/>
            <w:vAlign w:val="center"/>
          </w:tcPr>
          <w:p>
            <w:pPr>
              <w:spacing w:line="360" w:lineRule="exact"/>
              <w:jc w:val="center"/>
              <w:rPr>
                <w:rFonts w:ascii="宋体"/>
                <w:color w:val="auto"/>
                <w:kern w:val="0"/>
                <w:sz w:val="18"/>
                <w:szCs w:val="18"/>
              </w:rPr>
            </w:pPr>
          </w:p>
        </w:tc>
        <w:tc>
          <w:tcPr>
            <w:tcW w:w="975" w:type="dxa"/>
            <w:vAlign w:val="center"/>
          </w:tcPr>
          <w:p>
            <w:pPr>
              <w:widowControl/>
              <w:spacing w:line="360" w:lineRule="exact"/>
              <w:jc w:val="center"/>
              <w:rPr>
                <w:rFonts w:ascii="宋体"/>
                <w:color w:val="auto"/>
                <w:kern w:val="0"/>
                <w:sz w:val="20"/>
                <w:szCs w:val="20"/>
              </w:rPr>
            </w:pPr>
          </w:p>
        </w:tc>
      </w:tr>
    </w:tbl>
    <w:p>
      <w:pPr>
        <w:autoSpaceDE w:val="0"/>
        <w:autoSpaceDN w:val="0"/>
        <w:adjustRightInd w:val="0"/>
        <w:snapToGrid w:val="0"/>
        <w:spacing w:line="360" w:lineRule="auto"/>
        <w:jc w:val="left"/>
        <w:rPr>
          <w:rFonts w:ascii="宋体"/>
          <w:color w:val="auto"/>
          <w:kern w:val="0"/>
          <w:szCs w:val="21"/>
        </w:rPr>
        <w:sectPr>
          <w:pgSz w:w="16838" w:h="11906" w:orient="landscape"/>
          <w:pgMar w:top="1418" w:right="1440" w:bottom="1418" w:left="1418" w:header="851" w:footer="992" w:gutter="0"/>
          <w:cols w:space="720" w:num="1"/>
          <w:docGrid w:type="lines" w:linePitch="312" w:charSpace="0"/>
        </w:sectPr>
      </w:pPr>
    </w:p>
    <w:p>
      <w:pPr>
        <w:spacing w:line="420" w:lineRule="atLeast"/>
        <w:rPr>
          <w:rFonts w:ascii="宋体"/>
          <w:b/>
          <w:color w:val="auto"/>
          <w:sz w:val="22"/>
          <w:szCs w:val="22"/>
        </w:rPr>
      </w:pPr>
      <w:bookmarkStart w:id="3" w:name="_Toc518055691"/>
      <w:bookmarkStart w:id="4" w:name="_Toc518050511"/>
      <w:r>
        <w:rPr>
          <w:rFonts w:hint="eastAsia" w:ascii="宋体" w:hAnsi="宋体"/>
          <w:b/>
          <w:color w:val="auto"/>
          <w:sz w:val="22"/>
          <w:szCs w:val="22"/>
        </w:rPr>
        <w:t>二、服务内容与要求</w:t>
      </w:r>
      <w:bookmarkEnd w:id="3"/>
      <w:bookmarkEnd w:id="4"/>
    </w:p>
    <w:p>
      <w:pPr>
        <w:spacing w:line="420" w:lineRule="atLeast"/>
        <w:ind w:firstLine="632" w:firstLineChars="286"/>
        <w:rPr>
          <w:rFonts w:ascii="宋体"/>
          <w:b/>
          <w:color w:val="auto"/>
          <w:sz w:val="22"/>
          <w:szCs w:val="22"/>
        </w:rPr>
      </w:pPr>
      <w:bookmarkStart w:id="5" w:name="_Toc518050512"/>
      <w:bookmarkStart w:id="6" w:name="_Toc518055692"/>
      <w:r>
        <w:rPr>
          <w:rFonts w:ascii="宋体" w:hAnsi="宋体"/>
          <w:b/>
          <w:color w:val="auto"/>
          <w:sz w:val="22"/>
          <w:szCs w:val="22"/>
        </w:rPr>
        <w:t xml:space="preserve">2.1 </w:t>
      </w:r>
      <w:r>
        <w:rPr>
          <w:rFonts w:hint="eastAsia" w:ascii="宋体" w:hAnsi="宋体"/>
          <w:b/>
          <w:color w:val="auto"/>
          <w:sz w:val="22"/>
          <w:szCs w:val="22"/>
        </w:rPr>
        <w:t>城市桥梁经常性检查</w:t>
      </w:r>
      <w:bookmarkEnd w:id="5"/>
      <w:bookmarkEnd w:id="6"/>
    </w:p>
    <w:p>
      <w:pPr>
        <w:spacing w:line="420" w:lineRule="atLeast"/>
        <w:ind w:firstLine="629" w:firstLineChars="286"/>
        <w:rPr>
          <w:rFonts w:ascii="宋体"/>
          <w:color w:val="auto"/>
          <w:sz w:val="22"/>
          <w:szCs w:val="22"/>
        </w:rPr>
      </w:pPr>
      <w:bookmarkStart w:id="7" w:name="_Toc518050513"/>
      <w:bookmarkStart w:id="8" w:name="_Toc518055693"/>
      <w:r>
        <w:rPr>
          <w:rFonts w:ascii="宋体" w:hAnsi="宋体"/>
          <w:color w:val="auto"/>
          <w:sz w:val="22"/>
          <w:szCs w:val="22"/>
        </w:rPr>
        <w:t xml:space="preserve">2.1.1 </w:t>
      </w:r>
      <w:r>
        <w:rPr>
          <w:rFonts w:hint="eastAsia" w:ascii="宋体" w:hAnsi="宋体"/>
          <w:color w:val="auto"/>
          <w:sz w:val="22"/>
          <w:szCs w:val="22"/>
        </w:rPr>
        <w:t>经常性检查服务内容：</w:t>
      </w:r>
      <w:bookmarkEnd w:id="7"/>
      <w:bookmarkEnd w:id="8"/>
    </w:p>
    <w:p>
      <w:pPr>
        <w:spacing w:line="420" w:lineRule="atLeast"/>
        <w:ind w:firstLine="629" w:firstLineChars="286"/>
        <w:rPr>
          <w:rFonts w:ascii="宋体"/>
          <w:color w:val="auto"/>
          <w:sz w:val="22"/>
          <w:szCs w:val="22"/>
        </w:rPr>
      </w:pPr>
      <w:bookmarkStart w:id="9" w:name="_Toc518050514"/>
      <w:bookmarkStart w:id="10" w:name="_Toc518055694"/>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）调查、编制、完善所有桥梁资料卡。</w:t>
      </w:r>
      <w:bookmarkEnd w:id="9"/>
      <w:bookmarkEnd w:id="10"/>
    </w:p>
    <w:p>
      <w:pPr>
        <w:spacing w:line="420" w:lineRule="atLeast"/>
        <w:ind w:firstLine="629" w:firstLineChars="286"/>
        <w:rPr>
          <w:rFonts w:ascii="宋体"/>
          <w:color w:val="auto"/>
          <w:sz w:val="22"/>
          <w:szCs w:val="22"/>
        </w:rPr>
      </w:pPr>
      <w:bookmarkStart w:id="11" w:name="_Toc518055695"/>
      <w:bookmarkStart w:id="12" w:name="_Toc518050515"/>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）经常性检查内容应包括：</w:t>
      </w:r>
      <w:bookmarkEnd w:id="11"/>
      <w:bookmarkEnd w:id="12"/>
    </w:p>
    <w:p>
      <w:pPr>
        <w:spacing w:line="420" w:lineRule="atLeast"/>
        <w:ind w:firstLine="629" w:firstLineChars="286"/>
        <w:rPr>
          <w:rFonts w:ascii="宋体"/>
          <w:color w:val="auto"/>
          <w:sz w:val="22"/>
          <w:szCs w:val="22"/>
        </w:rPr>
      </w:pPr>
      <w:bookmarkStart w:id="13" w:name="_Toc518055696"/>
      <w:bookmarkStart w:id="14" w:name="_Toc518050516"/>
      <w:r>
        <w:rPr>
          <w:rFonts w:ascii="宋体" w:hAnsi="宋体"/>
          <w:color w:val="auto"/>
          <w:sz w:val="22"/>
          <w:szCs w:val="22"/>
        </w:rPr>
        <w:t>1</w:t>
      </w:r>
      <w:r>
        <w:rPr>
          <w:rFonts w:hint="eastAsia" w:ascii="宋体" w:hAnsi="宋体"/>
          <w:color w:val="auto"/>
          <w:sz w:val="22"/>
          <w:szCs w:val="22"/>
        </w:rPr>
        <w:t>）桥面系及附属设施的外观情况（包含桥梁工程量清单所有内容）：平整性、裂缝、局部坑槽、拥包、车辙、桥头跳车；伸缩装置的阻塞、破损、联结松动；桥面泄水孔的堵塞、缺损；人行道铺装、栏杆扶手、端柱等部位的污秽、破损、缺失、露筋、锈蚀等；墩台、锥坡、翼墙的局部开裂、破损、塌陷等；桥梁其他附属设施包括限高架、附设管线及广告牌等设施的变形、缺损情况。</w:t>
      </w:r>
      <w:bookmarkEnd w:id="13"/>
      <w:bookmarkEnd w:id="14"/>
    </w:p>
    <w:p>
      <w:pPr>
        <w:spacing w:line="420" w:lineRule="atLeast"/>
        <w:ind w:firstLine="629" w:firstLineChars="286"/>
        <w:rPr>
          <w:rFonts w:ascii="宋体"/>
          <w:color w:val="auto"/>
          <w:sz w:val="22"/>
          <w:szCs w:val="22"/>
        </w:rPr>
      </w:pPr>
      <w:bookmarkStart w:id="15" w:name="_Toc518055697"/>
      <w:bookmarkStart w:id="16" w:name="_Toc518050517"/>
      <w:r>
        <w:rPr>
          <w:rFonts w:ascii="宋体" w:hAnsi="宋体"/>
          <w:color w:val="auto"/>
          <w:sz w:val="22"/>
          <w:szCs w:val="22"/>
        </w:rPr>
        <w:t>2</w:t>
      </w:r>
      <w:r>
        <w:rPr>
          <w:rFonts w:hint="eastAsia" w:ascii="宋体" w:hAnsi="宋体"/>
          <w:color w:val="auto"/>
          <w:sz w:val="22"/>
          <w:szCs w:val="22"/>
        </w:rPr>
        <w:t>）上下部结构异常变化、缺陷、变形、沉降、位移等情况。</w:t>
      </w:r>
      <w:bookmarkEnd w:id="15"/>
      <w:bookmarkEnd w:id="16"/>
    </w:p>
    <w:p>
      <w:pPr>
        <w:spacing w:line="420" w:lineRule="atLeast"/>
        <w:ind w:firstLine="629" w:firstLineChars="286"/>
        <w:rPr>
          <w:rFonts w:ascii="宋体"/>
          <w:color w:val="auto"/>
          <w:sz w:val="22"/>
          <w:szCs w:val="22"/>
        </w:rPr>
      </w:pPr>
      <w:bookmarkStart w:id="17" w:name="_Toc518055698"/>
      <w:bookmarkStart w:id="18" w:name="_Toc518050518"/>
      <w:r>
        <w:rPr>
          <w:rFonts w:ascii="宋体" w:hAnsi="宋体"/>
          <w:color w:val="auto"/>
          <w:sz w:val="22"/>
          <w:szCs w:val="22"/>
        </w:rPr>
        <w:t>3</w:t>
      </w:r>
      <w:r>
        <w:rPr>
          <w:rFonts w:hint="eastAsia" w:ascii="宋体" w:hAnsi="宋体"/>
          <w:color w:val="auto"/>
          <w:sz w:val="22"/>
          <w:szCs w:val="22"/>
        </w:rPr>
        <w:t>）城市道路管理条例中规定的各类违章现场。</w:t>
      </w:r>
      <w:bookmarkEnd w:id="17"/>
      <w:bookmarkEnd w:id="18"/>
    </w:p>
    <w:p>
      <w:pPr>
        <w:spacing w:line="420" w:lineRule="atLeast"/>
        <w:ind w:firstLine="629" w:firstLineChars="286"/>
        <w:rPr>
          <w:rFonts w:ascii="宋体"/>
          <w:color w:val="auto"/>
          <w:sz w:val="22"/>
          <w:szCs w:val="22"/>
        </w:rPr>
      </w:pPr>
      <w:bookmarkStart w:id="19" w:name="_Toc518055699"/>
      <w:bookmarkStart w:id="20" w:name="_Toc518050519"/>
      <w:r>
        <w:rPr>
          <w:rFonts w:ascii="宋体" w:hAnsi="宋体"/>
          <w:color w:val="auto"/>
          <w:sz w:val="22"/>
          <w:szCs w:val="22"/>
        </w:rPr>
        <w:t>4</w:t>
      </w:r>
      <w:r>
        <w:rPr>
          <w:rFonts w:hint="eastAsia" w:ascii="宋体" w:hAnsi="宋体"/>
          <w:color w:val="auto"/>
          <w:sz w:val="22"/>
          <w:szCs w:val="22"/>
        </w:rPr>
        <w:t>）检查在桥区施工控制范围内的施工作业情况。</w:t>
      </w:r>
      <w:bookmarkEnd w:id="19"/>
      <w:bookmarkEnd w:id="20"/>
    </w:p>
    <w:p>
      <w:pPr>
        <w:spacing w:line="420" w:lineRule="atLeast"/>
        <w:ind w:firstLine="629" w:firstLineChars="286"/>
        <w:rPr>
          <w:rFonts w:ascii="宋体"/>
          <w:color w:val="auto"/>
          <w:sz w:val="22"/>
          <w:szCs w:val="22"/>
        </w:rPr>
      </w:pPr>
      <w:bookmarkStart w:id="21" w:name="_Toc518055700"/>
      <w:bookmarkStart w:id="22" w:name="_Toc518050520"/>
      <w:r>
        <w:rPr>
          <w:rFonts w:ascii="宋体" w:hAnsi="宋体"/>
          <w:color w:val="auto"/>
          <w:sz w:val="22"/>
          <w:szCs w:val="22"/>
        </w:rPr>
        <w:t>5</w:t>
      </w:r>
      <w:r>
        <w:rPr>
          <w:rFonts w:hint="eastAsia" w:ascii="宋体" w:hAnsi="宋体"/>
          <w:color w:val="auto"/>
          <w:sz w:val="22"/>
          <w:szCs w:val="22"/>
        </w:rPr>
        <w:t>）桥梁限高、限载标志及交通标志设施等各类标志完好情况。</w:t>
      </w:r>
      <w:bookmarkEnd w:id="21"/>
      <w:bookmarkEnd w:id="22"/>
    </w:p>
    <w:p>
      <w:pPr>
        <w:spacing w:line="420" w:lineRule="atLeast"/>
        <w:ind w:firstLine="629" w:firstLineChars="286"/>
        <w:rPr>
          <w:rFonts w:ascii="宋体"/>
          <w:color w:val="auto"/>
          <w:sz w:val="22"/>
          <w:szCs w:val="22"/>
        </w:rPr>
      </w:pPr>
      <w:bookmarkStart w:id="23" w:name="_Toc518055701"/>
      <w:bookmarkStart w:id="24" w:name="_Toc518050521"/>
      <w:r>
        <w:rPr>
          <w:rFonts w:ascii="宋体" w:hAnsi="宋体"/>
          <w:color w:val="auto"/>
          <w:sz w:val="22"/>
          <w:szCs w:val="22"/>
        </w:rPr>
        <w:t>6</w:t>
      </w:r>
      <w:r>
        <w:rPr>
          <w:rFonts w:hint="eastAsia" w:ascii="宋体" w:hAnsi="宋体"/>
          <w:color w:val="auto"/>
          <w:sz w:val="22"/>
          <w:szCs w:val="22"/>
        </w:rPr>
        <w:t>）他明显的损坏及不正常现象。</w:t>
      </w:r>
      <w:bookmarkEnd w:id="23"/>
      <w:bookmarkEnd w:id="24"/>
    </w:p>
    <w:p>
      <w:pPr>
        <w:spacing w:line="420" w:lineRule="atLeast"/>
        <w:ind w:firstLine="629" w:firstLineChars="286"/>
        <w:rPr>
          <w:rFonts w:ascii="宋体"/>
          <w:color w:val="auto"/>
          <w:sz w:val="22"/>
          <w:szCs w:val="22"/>
        </w:rPr>
      </w:pPr>
      <w:bookmarkStart w:id="25" w:name="_Toc518055702"/>
      <w:bookmarkStart w:id="26" w:name="_Toc518050522"/>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）严格按照《城市桥梁养护技术标准》（</w:t>
      </w:r>
      <w:r>
        <w:rPr>
          <w:rFonts w:ascii="宋体" w:hAnsi="宋体"/>
          <w:color w:val="auto"/>
          <w:sz w:val="22"/>
          <w:szCs w:val="22"/>
        </w:rPr>
        <w:t>CJJ99-2017</w:t>
      </w:r>
      <w:r>
        <w:rPr>
          <w:rFonts w:hint="eastAsia" w:ascii="宋体" w:hAnsi="宋体"/>
          <w:color w:val="auto"/>
          <w:sz w:val="22"/>
          <w:szCs w:val="22"/>
        </w:rPr>
        <w:t>）的要求实施，当出台新规范时应执行新规范的相关要求，每周两次对所有桥梁进行检查，检查宜以目测为主，《城市桥梁养护技术标准》（</w:t>
      </w:r>
      <w:r>
        <w:rPr>
          <w:rFonts w:ascii="宋体" w:hAnsi="宋体"/>
          <w:color w:val="auto"/>
          <w:sz w:val="22"/>
          <w:szCs w:val="22"/>
        </w:rPr>
        <w:t>CJJ99-2017</w:t>
      </w:r>
      <w:r>
        <w:rPr>
          <w:rFonts w:hint="eastAsia" w:ascii="宋体" w:hAnsi="宋体"/>
          <w:color w:val="auto"/>
          <w:sz w:val="22"/>
          <w:szCs w:val="22"/>
        </w:rPr>
        <w:t>）附录</w:t>
      </w:r>
      <w:r>
        <w:rPr>
          <w:rFonts w:ascii="宋体" w:hAnsi="宋体"/>
          <w:color w:val="auto"/>
          <w:sz w:val="22"/>
          <w:szCs w:val="22"/>
        </w:rPr>
        <w:t>A</w:t>
      </w:r>
      <w:r>
        <w:rPr>
          <w:rFonts w:hint="eastAsia" w:ascii="宋体" w:hAnsi="宋体"/>
          <w:color w:val="auto"/>
          <w:sz w:val="22"/>
          <w:szCs w:val="22"/>
        </w:rPr>
        <w:t>，</w:t>
      </w:r>
      <w:r>
        <w:rPr>
          <w:rFonts w:ascii="宋体" w:hAnsi="宋体"/>
          <w:color w:val="auto"/>
          <w:sz w:val="22"/>
          <w:szCs w:val="22"/>
        </w:rPr>
        <w:t xml:space="preserve"> </w:t>
      </w:r>
      <w:r>
        <w:rPr>
          <w:rFonts w:hint="eastAsia" w:ascii="宋体" w:hAnsi="宋体"/>
          <w:color w:val="auto"/>
          <w:sz w:val="22"/>
          <w:szCs w:val="22"/>
        </w:rPr>
        <w:t>现场填写《城市桥梁日常巡检日报表》，登记所检查城市桥梁的缺损类型、维护工作量，提出相应的养护措施，并于</w:t>
      </w:r>
      <w:r>
        <w:rPr>
          <w:rFonts w:ascii="宋体" w:hAnsi="宋体"/>
          <w:color w:val="auto"/>
          <w:sz w:val="22"/>
          <w:szCs w:val="22"/>
        </w:rPr>
        <w:t xml:space="preserve"> 24</w:t>
      </w:r>
      <w:r>
        <w:rPr>
          <w:rFonts w:hint="eastAsia" w:ascii="宋体" w:hAnsi="宋体"/>
          <w:color w:val="auto"/>
          <w:sz w:val="22"/>
          <w:szCs w:val="22"/>
        </w:rPr>
        <w:t>小时内将数据输入东莞市城市桥梁信息管理系统。</w:t>
      </w:r>
      <w:bookmarkEnd w:id="25"/>
      <w:bookmarkEnd w:id="26"/>
    </w:p>
    <w:p>
      <w:pPr>
        <w:spacing w:line="420" w:lineRule="atLeast"/>
        <w:ind w:firstLine="629" w:firstLineChars="286"/>
        <w:rPr>
          <w:rFonts w:ascii="宋体"/>
          <w:color w:val="auto"/>
          <w:sz w:val="22"/>
          <w:szCs w:val="22"/>
        </w:rPr>
      </w:pPr>
      <w:bookmarkStart w:id="27" w:name="_Toc518055703"/>
      <w:bookmarkStart w:id="28" w:name="_Toc518050523"/>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）经常性检查接受甲方城市桥梁经常性检查</w:t>
      </w:r>
      <w:r>
        <w:rPr>
          <w:rFonts w:ascii="宋体" w:hAnsi="宋体"/>
          <w:color w:val="auto"/>
          <w:sz w:val="22"/>
          <w:szCs w:val="22"/>
        </w:rPr>
        <w:t>GPS</w:t>
      </w:r>
      <w:r>
        <w:rPr>
          <w:rFonts w:hint="eastAsia" w:ascii="宋体" w:hAnsi="宋体"/>
          <w:color w:val="auto"/>
          <w:sz w:val="22"/>
          <w:szCs w:val="22"/>
        </w:rPr>
        <w:t>监管系统的监督，具体按《东莞市直管城市桥梁经常性检查</w:t>
      </w:r>
      <w:r>
        <w:rPr>
          <w:rFonts w:ascii="宋体" w:hAnsi="宋体"/>
          <w:color w:val="auto"/>
          <w:sz w:val="22"/>
          <w:szCs w:val="22"/>
        </w:rPr>
        <w:t>GPS</w:t>
      </w:r>
      <w:r>
        <w:rPr>
          <w:rFonts w:hint="eastAsia" w:ascii="宋体" w:hAnsi="宋体"/>
          <w:color w:val="auto"/>
          <w:sz w:val="22"/>
          <w:szCs w:val="22"/>
        </w:rPr>
        <w:t>监管系统使用及管理办法》（试行）执行。</w:t>
      </w:r>
      <w:bookmarkEnd w:id="27"/>
      <w:bookmarkEnd w:id="28"/>
    </w:p>
    <w:p>
      <w:pPr>
        <w:spacing w:line="420" w:lineRule="atLeast"/>
        <w:ind w:firstLine="629" w:firstLineChars="286"/>
        <w:rPr>
          <w:rFonts w:ascii="宋体"/>
          <w:color w:val="auto"/>
          <w:sz w:val="22"/>
          <w:szCs w:val="22"/>
        </w:rPr>
      </w:pPr>
      <w:bookmarkStart w:id="29" w:name="_Toc518055704"/>
      <w:bookmarkStart w:id="30" w:name="_Toc518050524"/>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）《城市桥梁养护技术标准》（</w:t>
      </w:r>
      <w:r>
        <w:rPr>
          <w:rFonts w:ascii="宋体" w:hAnsi="宋体"/>
          <w:color w:val="auto"/>
          <w:sz w:val="22"/>
          <w:szCs w:val="22"/>
        </w:rPr>
        <w:t>CJJ99-2017</w:t>
      </w:r>
      <w:r>
        <w:rPr>
          <w:rFonts w:hint="eastAsia" w:ascii="宋体" w:hAnsi="宋体"/>
          <w:color w:val="auto"/>
          <w:sz w:val="22"/>
          <w:szCs w:val="22"/>
        </w:rPr>
        <w:t>）规定的其他内容。</w:t>
      </w:r>
      <w:bookmarkEnd w:id="29"/>
      <w:bookmarkEnd w:id="30"/>
    </w:p>
    <w:p>
      <w:pPr>
        <w:spacing w:line="420" w:lineRule="atLeast"/>
        <w:ind w:firstLine="629" w:firstLineChars="286"/>
        <w:rPr>
          <w:rFonts w:ascii="宋体"/>
          <w:color w:val="auto"/>
          <w:sz w:val="22"/>
          <w:szCs w:val="22"/>
        </w:rPr>
      </w:pPr>
      <w:bookmarkStart w:id="31" w:name="_Toc518050525"/>
      <w:bookmarkStart w:id="32" w:name="_Toc518055705"/>
      <w:r>
        <w:rPr>
          <w:rFonts w:ascii="宋体" w:hAnsi="宋体"/>
          <w:color w:val="auto"/>
          <w:sz w:val="22"/>
          <w:szCs w:val="22"/>
        </w:rPr>
        <w:t xml:space="preserve">2.1.2 </w:t>
      </w:r>
      <w:r>
        <w:rPr>
          <w:rFonts w:hint="eastAsia" w:ascii="宋体" w:hAnsi="宋体"/>
          <w:color w:val="auto"/>
          <w:sz w:val="22"/>
          <w:szCs w:val="22"/>
        </w:rPr>
        <w:t>经常性检查服务要求：</w:t>
      </w:r>
      <w:bookmarkEnd w:id="31"/>
      <w:bookmarkEnd w:id="32"/>
    </w:p>
    <w:p>
      <w:pPr>
        <w:spacing w:line="420" w:lineRule="atLeast"/>
        <w:ind w:firstLine="629" w:firstLineChars="286"/>
        <w:rPr>
          <w:rFonts w:ascii="宋体"/>
          <w:color w:val="auto"/>
          <w:sz w:val="22"/>
          <w:szCs w:val="22"/>
        </w:rPr>
      </w:pPr>
      <w:bookmarkStart w:id="33" w:name="_Toc518055706"/>
      <w:bookmarkStart w:id="34" w:name="_Toc518050526"/>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）经常性检查发现桥梁设施明显损坏并有可能影响车辆和行人安全的，应及时采取应急处理措施，并立即上报采购人，特殊情况需设专人</w:t>
      </w:r>
      <w:r>
        <w:rPr>
          <w:rFonts w:ascii="宋体" w:hAnsi="宋体"/>
          <w:color w:val="auto"/>
          <w:sz w:val="22"/>
          <w:szCs w:val="22"/>
        </w:rPr>
        <w:t>24</w:t>
      </w:r>
      <w:r>
        <w:rPr>
          <w:rFonts w:hint="eastAsia" w:ascii="宋体" w:hAnsi="宋体"/>
          <w:color w:val="auto"/>
          <w:sz w:val="22"/>
          <w:szCs w:val="22"/>
        </w:rPr>
        <w:t>小时看护，所需费用计入投标报价。</w:t>
      </w:r>
      <w:bookmarkEnd w:id="33"/>
      <w:bookmarkEnd w:id="34"/>
    </w:p>
    <w:p>
      <w:pPr>
        <w:spacing w:line="420" w:lineRule="atLeast"/>
        <w:ind w:firstLine="629" w:firstLineChars="286"/>
        <w:rPr>
          <w:rFonts w:ascii="宋体"/>
          <w:color w:val="auto"/>
          <w:sz w:val="22"/>
          <w:szCs w:val="22"/>
        </w:rPr>
      </w:pPr>
      <w:bookmarkStart w:id="35" w:name="_Toc518050527"/>
      <w:bookmarkStart w:id="36" w:name="_Toc518055707"/>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）按照《城市桥梁养护技术标准》（</w:t>
      </w:r>
      <w:r>
        <w:rPr>
          <w:rFonts w:ascii="宋体" w:hAnsi="宋体"/>
          <w:color w:val="auto"/>
          <w:sz w:val="22"/>
          <w:szCs w:val="22"/>
        </w:rPr>
        <w:t>CJJ99-2017</w:t>
      </w:r>
      <w:r>
        <w:rPr>
          <w:rFonts w:hint="eastAsia" w:ascii="宋体" w:hAnsi="宋体"/>
          <w:color w:val="auto"/>
          <w:sz w:val="22"/>
          <w:szCs w:val="22"/>
        </w:rPr>
        <w:t>），每周出具纸质报表。</w:t>
      </w:r>
      <w:bookmarkEnd w:id="35"/>
      <w:bookmarkEnd w:id="36"/>
    </w:p>
    <w:p>
      <w:pPr>
        <w:spacing w:line="420" w:lineRule="atLeast"/>
        <w:ind w:firstLine="629" w:firstLineChars="286"/>
        <w:rPr>
          <w:rFonts w:ascii="宋体"/>
          <w:color w:val="auto"/>
          <w:sz w:val="22"/>
          <w:szCs w:val="22"/>
        </w:rPr>
      </w:pPr>
      <w:bookmarkStart w:id="37" w:name="_Toc518050528"/>
      <w:bookmarkStart w:id="38" w:name="_Toc518055708"/>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）经常性检查发现桥梁重要部件存在明显缺损或存在结构安全问题的，要立即上报采购人，应及时提交专项报告和处理措施建议。</w:t>
      </w:r>
      <w:bookmarkEnd w:id="37"/>
      <w:bookmarkEnd w:id="38"/>
    </w:p>
    <w:p>
      <w:pPr>
        <w:spacing w:line="420" w:lineRule="atLeast"/>
        <w:ind w:firstLine="629" w:firstLineChars="286"/>
        <w:rPr>
          <w:rFonts w:ascii="宋体"/>
          <w:color w:val="auto"/>
          <w:sz w:val="22"/>
          <w:szCs w:val="22"/>
        </w:rPr>
      </w:pPr>
      <w:bookmarkStart w:id="39" w:name="_Toc518050529"/>
      <w:bookmarkStart w:id="40" w:name="_Toc518055709"/>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）针对本项目，投标人应提供完成经常性检查所必须的设备，经常性检查车辆不少于</w:t>
      </w:r>
      <w:r>
        <w:rPr>
          <w:rFonts w:ascii="宋体" w:hAnsi="宋体"/>
          <w:color w:val="auto"/>
          <w:sz w:val="22"/>
          <w:szCs w:val="22"/>
        </w:rPr>
        <w:t>2</w:t>
      </w:r>
      <w:r>
        <w:rPr>
          <w:rFonts w:hint="eastAsia" w:ascii="宋体" w:hAnsi="宋体"/>
          <w:color w:val="auto"/>
          <w:sz w:val="22"/>
          <w:szCs w:val="22"/>
        </w:rPr>
        <w:t>台，要求每台检查车辆配备</w:t>
      </w:r>
      <w:r>
        <w:rPr>
          <w:rFonts w:ascii="宋体" w:hAnsi="宋体"/>
          <w:color w:val="auto"/>
          <w:sz w:val="22"/>
          <w:szCs w:val="22"/>
        </w:rPr>
        <w:t>2</w:t>
      </w:r>
      <w:r>
        <w:rPr>
          <w:rFonts w:hint="eastAsia" w:ascii="宋体" w:hAnsi="宋体"/>
          <w:color w:val="auto"/>
          <w:sz w:val="22"/>
          <w:szCs w:val="22"/>
        </w:rPr>
        <w:t>名检查人员，经常性检查车辆应配备专用交通警示标志牌（不少于</w:t>
      </w:r>
      <w:r>
        <w:rPr>
          <w:rFonts w:ascii="宋体" w:hAnsi="宋体"/>
          <w:color w:val="auto"/>
          <w:sz w:val="22"/>
          <w:szCs w:val="22"/>
        </w:rPr>
        <w:t>2</w:t>
      </w:r>
      <w:r>
        <w:rPr>
          <w:rFonts w:hint="eastAsia" w:ascii="宋体" w:hAnsi="宋体"/>
          <w:color w:val="auto"/>
          <w:sz w:val="22"/>
          <w:szCs w:val="22"/>
        </w:rPr>
        <w:t>块）、施工围档（不少于</w:t>
      </w:r>
      <w:r>
        <w:rPr>
          <w:rFonts w:ascii="宋体" w:hAnsi="宋体"/>
          <w:color w:val="auto"/>
          <w:sz w:val="22"/>
          <w:szCs w:val="22"/>
        </w:rPr>
        <w:t>50</w:t>
      </w:r>
      <w:r>
        <w:rPr>
          <w:rFonts w:hint="eastAsia" w:ascii="宋体" w:hAnsi="宋体"/>
          <w:color w:val="auto"/>
          <w:sz w:val="22"/>
          <w:szCs w:val="22"/>
        </w:rPr>
        <w:t>米的雪糕筒、水马等）、行车记录仪、对讲机等必须使用的工具。</w:t>
      </w:r>
      <w:bookmarkEnd w:id="39"/>
      <w:bookmarkEnd w:id="40"/>
    </w:p>
    <w:p>
      <w:pPr>
        <w:spacing w:line="420" w:lineRule="atLeast"/>
        <w:ind w:firstLine="629" w:firstLineChars="286"/>
        <w:rPr>
          <w:rFonts w:ascii="宋体"/>
          <w:color w:val="auto"/>
          <w:sz w:val="22"/>
          <w:szCs w:val="22"/>
        </w:rPr>
      </w:pPr>
      <w:bookmarkStart w:id="41" w:name="_Toc518050530"/>
      <w:bookmarkStart w:id="42" w:name="_Toc518055710"/>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）经常性检查应由经培训的专职桥梁管理人员或有一定经验的技术人员负责。并接受甲方</w:t>
      </w:r>
      <w:r>
        <w:rPr>
          <w:rFonts w:ascii="宋体" w:hAnsi="宋体"/>
          <w:color w:val="auto"/>
          <w:sz w:val="22"/>
          <w:szCs w:val="22"/>
        </w:rPr>
        <w:t>GPS</w:t>
      </w:r>
      <w:r>
        <w:rPr>
          <w:rFonts w:hint="eastAsia" w:ascii="宋体" w:hAnsi="宋体"/>
          <w:color w:val="auto"/>
          <w:sz w:val="22"/>
          <w:szCs w:val="22"/>
        </w:rPr>
        <w:t>监管系统的监督，</w:t>
      </w:r>
      <w:r>
        <w:rPr>
          <w:rFonts w:ascii="宋体" w:hAnsi="宋体"/>
          <w:color w:val="auto"/>
          <w:sz w:val="22"/>
          <w:szCs w:val="22"/>
        </w:rPr>
        <w:t>GPS</w:t>
      </w:r>
      <w:r>
        <w:rPr>
          <w:rFonts w:hint="eastAsia" w:ascii="宋体" w:hAnsi="宋体"/>
          <w:color w:val="auto"/>
          <w:sz w:val="22"/>
          <w:szCs w:val="22"/>
        </w:rPr>
        <w:t>监管系统费用由乙方负责（相关费用包含在合同总价中，乙方不得要求甲方另行支付）。经常性检查车辆在巡查时应使用行车记录仪，每天巡查记录应保存备查。</w:t>
      </w:r>
      <w:bookmarkEnd w:id="41"/>
      <w:bookmarkEnd w:id="42"/>
    </w:p>
    <w:p>
      <w:pPr>
        <w:spacing w:line="420" w:lineRule="atLeast"/>
        <w:ind w:firstLine="629" w:firstLineChars="286"/>
        <w:rPr>
          <w:rFonts w:ascii="宋体"/>
          <w:color w:val="auto"/>
          <w:sz w:val="22"/>
          <w:szCs w:val="22"/>
        </w:rPr>
      </w:pPr>
      <w:bookmarkStart w:id="43" w:name="_Toc518055711"/>
      <w:bookmarkStart w:id="44" w:name="_Toc518050531"/>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）投入本项目经常性检查工作的车辆、设备均只限本项目经常性检查工作使用，不得与其他项目或本项目其他工作相重叠。</w:t>
      </w:r>
      <w:bookmarkEnd w:id="43"/>
      <w:bookmarkEnd w:id="44"/>
    </w:p>
    <w:p>
      <w:pPr>
        <w:spacing w:line="420" w:lineRule="atLeast"/>
        <w:ind w:firstLine="632" w:firstLineChars="286"/>
        <w:rPr>
          <w:rFonts w:ascii="宋体"/>
          <w:b/>
          <w:color w:val="auto"/>
          <w:sz w:val="22"/>
          <w:szCs w:val="22"/>
        </w:rPr>
      </w:pPr>
      <w:bookmarkStart w:id="45" w:name="_Toc518050532"/>
      <w:bookmarkStart w:id="46" w:name="_Toc518055712"/>
      <w:r>
        <w:rPr>
          <w:rFonts w:ascii="宋体" w:hAnsi="宋体"/>
          <w:b/>
          <w:color w:val="auto"/>
          <w:sz w:val="22"/>
          <w:szCs w:val="22"/>
        </w:rPr>
        <w:t xml:space="preserve">2.2 </w:t>
      </w:r>
      <w:r>
        <w:rPr>
          <w:rFonts w:hint="eastAsia" w:ascii="宋体" w:hAnsi="宋体"/>
          <w:b/>
          <w:color w:val="auto"/>
          <w:sz w:val="22"/>
          <w:szCs w:val="22"/>
        </w:rPr>
        <w:t>城市桥梁定期检测</w:t>
      </w:r>
      <w:bookmarkEnd w:id="45"/>
      <w:bookmarkEnd w:id="46"/>
    </w:p>
    <w:p>
      <w:pPr>
        <w:spacing w:line="420" w:lineRule="atLeast"/>
        <w:ind w:firstLine="629" w:firstLineChars="286"/>
        <w:rPr>
          <w:rFonts w:ascii="宋体"/>
          <w:color w:val="auto"/>
          <w:sz w:val="22"/>
          <w:szCs w:val="22"/>
        </w:rPr>
      </w:pPr>
      <w:bookmarkStart w:id="47" w:name="_Toc518050533"/>
      <w:bookmarkStart w:id="48" w:name="_Toc518055713"/>
      <w:r>
        <w:rPr>
          <w:rFonts w:ascii="宋体" w:hAnsi="宋体"/>
          <w:color w:val="auto"/>
          <w:sz w:val="22"/>
          <w:szCs w:val="22"/>
        </w:rPr>
        <w:t xml:space="preserve">2.2.1 </w:t>
      </w:r>
      <w:r>
        <w:rPr>
          <w:rFonts w:hint="eastAsia" w:ascii="宋体" w:hAnsi="宋体"/>
          <w:color w:val="auto"/>
          <w:sz w:val="22"/>
          <w:szCs w:val="22"/>
        </w:rPr>
        <w:t>定期检测服务内容：</w:t>
      </w:r>
      <w:bookmarkEnd w:id="47"/>
      <w:bookmarkEnd w:id="48"/>
    </w:p>
    <w:p>
      <w:pPr>
        <w:spacing w:line="420" w:lineRule="atLeast"/>
        <w:ind w:firstLine="629" w:firstLineChars="286"/>
        <w:rPr>
          <w:rFonts w:ascii="宋体"/>
          <w:color w:val="auto"/>
          <w:sz w:val="22"/>
          <w:szCs w:val="22"/>
        </w:rPr>
      </w:pPr>
      <w:bookmarkStart w:id="49" w:name="_Toc518050534"/>
      <w:bookmarkStart w:id="50" w:name="_Toc518055714"/>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）常规定期检测：</w:t>
      </w:r>
      <w:bookmarkEnd w:id="49"/>
      <w:bookmarkEnd w:id="50"/>
    </w:p>
    <w:p>
      <w:pPr>
        <w:spacing w:line="420" w:lineRule="atLeast"/>
        <w:ind w:firstLine="629" w:firstLineChars="286"/>
        <w:rPr>
          <w:rFonts w:ascii="宋体"/>
          <w:color w:val="auto"/>
          <w:sz w:val="22"/>
          <w:szCs w:val="22"/>
        </w:rPr>
      </w:pPr>
      <w:bookmarkStart w:id="51" w:name="_Toc518055715"/>
      <w:bookmarkStart w:id="52" w:name="_Toc518050535"/>
      <w:r>
        <w:rPr>
          <w:rFonts w:ascii="宋体" w:hAnsi="宋体"/>
          <w:color w:val="auto"/>
          <w:sz w:val="22"/>
          <w:szCs w:val="22"/>
        </w:rPr>
        <w:t>1</w:t>
      </w:r>
      <w:r>
        <w:rPr>
          <w:rFonts w:hint="eastAsia" w:ascii="宋体" w:hAnsi="宋体"/>
          <w:color w:val="auto"/>
          <w:sz w:val="22"/>
          <w:szCs w:val="22"/>
        </w:rPr>
        <w:t>）每座桥梁每年检测两次，检测时间由采购人和中标人商定。</w:t>
      </w:r>
      <w:bookmarkEnd w:id="51"/>
      <w:bookmarkEnd w:id="52"/>
    </w:p>
    <w:p>
      <w:pPr>
        <w:spacing w:line="420" w:lineRule="atLeast"/>
        <w:ind w:firstLine="629" w:firstLineChars="286"/>
        <w:rPr>
          <w:rFonts w:ascii="宋体"/>
          <w:color w:val="auto"/>
          <w:sz w:val="22"/>
          <w:szCs w:val="22"/>
        </w:rPr>
      </w:pPr>
      <w:bookmarkStart w:id="53" w:name="_Toc518055716"/>
      <w:bookmarkStart w:id="54" w:name="_Toc518050536"/>
      <w:r>
        <w:rPr>
          <w:rFonts w:ascii="宋体" w:hAnsi="宋体"/>
          <w:color w:val="auto"/>
          <w:sz w:val="22"/>
          <w:szCs w:val="22"/>
        </w:rPr>
        <w:t>2</w:t>
      </w:r>
      <w:r>
        <w:rPr>
          <w:rFonts w:hint="eastAsia" w:ascii="宋体" w:hAnsi="宋体"/>
          <w:color w:val="auto"/>
          <w:sz w:val="22"/>
          <w:szCs w:val="22"/>
        </w:rPr>
        <w:t>）在城市桥梁结构正常状况时设置永久性控制监测点（针对尚未设置的城市桥梁），测点宜用统一规格的圆头锚钉和在铝板上用钢印编号，或靠地固着于被测部件上，所需费用计入投标报价。</w:t>
      </w:r>
      <w:bookmarkEnd w:id="53"/>
      <w:bookmarkEnd w:id="54"/>
    </w:p>
    <w:p>
      <w:pPr>
        <w:spacing w:line="420" w:lineRule="atLeast"/>
        <w:ind w:firstLine="629" w:firstLineChars="286"/>
        <w:rPr>
          <w:rFonts w:ascii="宋体"/>
          <w:color w:val="auto"/>
          <w:sz w:val="22"/>
          <w:szCs w:val="22"/>
        </w:rPr>
      </w:pPr>
      <w:bookmarkStart w:id="55" w:name="_Toc518050537"/>
      <w:bookmarkStart w:id="56" w:name="_Toc518055717"/>
      <w:r>
        <w:rPr>
          <w:rFonts w:ascii="宋体" w:hAnsi="宋体"/>
          <w:color w:val="auto"/>
          <w:sz w:val="22"/>
          <w:szCs w:val="22"/>
        </w:rPr>
        <w:t>3</w:t>
      </w:r>
      <w:r>
        <w:rPr>
          <w:rFonts w:hint="eastAsia" w:ascii="宋体" w:hAnsi="宋体"/>
          <w:color w:val="auto"/>
          <w:sz w:val="22"/>
          <w:szCs w:val="22"/>
        </w:rPr>
        <w:t>）检测内容：</w:t>
      </w:r>
      <w:bookmarkEnd w:id="55"/>
      <w:bookmarkEnd w:id="56"/>
    </w:p>
    <w:p>
      <w:pPr>
        <w:spacing w:line="420" w:lineRule="atLeast"/>
        <w:ind w:firstLine="629" w:firstLineChars="286"/>
        <w:rPr>
          <w:rFonts w:ascii="宋体"/>
          <w:color w:val="auto"/>
          <w:sz w:val="22"/>
          <w:szCs w:val="22"/>
        </w:rPr>
      </w:pPr>
      <w:bookmarkStart w:id="57" w:name="_Toc518055718"/>
      <w:bookmarkStart w:id="58" w:name="_Toc518050538"/>
      <w:r>
        <w:rPr>
          <w:rFonts w:hint="eastAsia" w:ascii="宋体" w:hAnsi="宋体"/>
          <w:color w:val="auto"/>
          <w:sz w:val="22"/>
          <w:szCs w:val="22"/>
        </w:rPr>
        <w:t>①</w:t>
      </w:r>
      <w:r>
        <w:rPr>
          <w:rFonts w:ascii="宋体" w:hAnsi="宋体"/>
          <w:color w:val="auto"/>
          <w:sz w:val="22"/>
          <w:szCs w:val="22"/>
        </w:rPr>
        <w:t xml:space="preserve"> </w:t>
      </w:r>
      <w:r>
        <w:rPr>
          <w:rFonts w:hint="eastAsia" w:ascii="宋体" w:hAnsi="宋体"/>
          <w:color w:val="auto"/>
          <w:sz w:val="22"/>
          <w:szCs w:val="22"/>
        </w:rPr>
        <w:t>对照城市桥梁资料卡和城市桥梁设备量年报表（若为首次检测，中标人应根据现场情况填写）现场校核城市桥梁的基本数量。</w:t>
      </w:r>
      <w:bookmarkEnd w:id="57"/>
      <w:bookmarkEnd w:id="58"/>
    </w:p>
    <w:p>
      <w:pPr>
        <w:spacing w:line="420" w:lineRule="atLeast"/>
        <w:ind w:firstLine="629" w:firstLineChars="286"/>
        <w:rPr>
          <w:rFonts w:ascii="宋体"/>
          <w:color w:val="auto"/>
          <w:sz w:val="22"/>
          <w:szCs w:val="22"/>
        </w:rPr>
      </w:pPr>
      <w:bookmarkStart w:id="59" w:name="_Toc518055719"/>
      <w:bookmarkStart w:id="60" w:name="_Toc518050539"/>
      <w:r>
        <w:rPr>
          <w:rFonts w:hint="eastAsia" w:ascii="宋体" w:hAnsi="宋体"/>
          <w:color w:val="auto"/>
          <w:sz w:val="22"/>
          <w:szCs w:val="22"/>
        </w:rPr>
        <w:t>②通过城市桥梁永久性控制检测点对检测桥梁控制截面变位进行监测。</w:t>
      </w:r>
      <w:bookmarkEnd w:id="59"/>
      <w:bookmarkEnd w:id="60"/>
    </w:p>
    <w:p>
      <w:pPr>
        <w:spacing w:line="420" w:lineRule="atLeast"/>
        <w:ind w:firstLine="629" w:firstLineChars="286"/>
        <w:rPr>
          <w:rFonts w:ascii="宋体"/>
          <w:color w:val="auto"/>
          <w:sz w:val="22"/>
          <w:szCs w:val="22"/>
        </w:rPr>
      </w:pPr>
      <w:bookmarkStart w:id="61" w:name="_Toc518055720"/>
      <w:bookmarkStart w:id="62" w:name="_Toc518050540"/>
      <w:r>
        <w:rPr>
          <w:rFonts w:hint="eastAsia" w:ascii="宋体" w:hAnsi="宋体"/>
          <w:color w:val="auto"/>
          <w:sz w:val="22"/>
          <w:szCs w:val="22"/>
        </w:rPr>
        <w:t>③</w:t>
      </w:r>
      <w:r>
        <w:rPr>
          <w:rFonts w:ascii="宋体" w:hAnsi="宋体"/>
          <w:color w:val="auto"/>
          <w:sz w:val="22"/>
          <w:szCs w:val="22"/>
        </w:rPr>
        <w:t xml:space="preserve"> </w:t>
      </w:r>
      <w:r>
        <w:rPr>
          <w:rFonts w:hint="eastAsia" w:ascii="宋体" w:hAnsi="宋体"/>
          <w:color w:val="auto"/>
          <w:sz w:val="22"/>
          <w:szCs w:val="22"/>
        </w:rPr>
        <w:t>实地判断桥梁各构件的损坏原因，估计维修范围和方案。</w:t>
      </w:r>
      <w:bookmarkEnd w:id="61"/>
      <w:bookmarkEnd w:id="62"/>
    </w:p>
    <w:p>
      <w:pPr>
        <w:spacing w:line="420" w:lineRule="atLeast"/>
        <w:ind w:firstLine="629" w:firstLineChars="286"/>
        <w:rPr>
          <w:rFonts w:ascii="宋体"/>
          <w:color w:val="auto"/>
          <w:sz w:val="22"/>
          <w:szCs w:val="22"/>
        </w:rPr>
      </w:pPr>
      <w:bookmarkStart w:id="63" w:name="_Toc518050541"/>
      <w:bookmarkStart w:id="64" w:name="_Toc518055721"/>
      <w:r>
        <w:rPr>
          <w:rFonts w:hint="eastAsia" w:ascii="宋体" w:hAnsi="宋体"/>
          <w:color w:val="auto"/>
          <w:sz w:val="22"/>
          <w:szCs w:val="22"/>
        </w:rPr>
        <w:t>④</w:t>
      </w:r>
      <w:r>
        <w:rPr>
          <w:rFonts w:ascii="宋体" w:hAnsi="宋体"/>
          <w:color w:val="auto"/>
          <w:sz w:val="22"/>
          <w:szCs w:val="22"/>
        </w:rPr>
        <w:t xml:space="preserve"> </w:t>
      </w:r>
      <w:r>
        <w:rPr>
          <w:rFonts w:hint="eastAsia" w:ascii="宋体" w:hAnsi="宋体"/>
          <w:color w:val="auto"/>
          <w:sz w:val="22"/>
          <w:szCs w:val="22"/>
        </w:rPr>
        <w:t>对难以判断其损坏程度和原因的构件，提出作特殊检测的建议。</w:t>
      </w:r>
      <w:bookmarkEnd w:id="63"/>
      <w:bookmarkEnd w:id="64"/>
    </w:p>
    <w:p>
      <w:pPr>
        <w:spacing w:line="420" w:lineRule="atLeast"/>
        <w:ind w:firstLine="629" w:firstLineChars="286"/>
        <w:rPr>
          <w:rFonts w:ascii="宋体"/>
          <w:color w:val="auto"/>
          <w:sz w:val="22"/>
          <w:szCs w:val="22"/>
        </w:rPr>
      </w:pPr>
      <w:bookmarkStart w:id="65" w:name="_Toc518050542"/>
      <w:bookmarkStart w:id="66" w:name="_Toc518055722"/>
      <w:r>
        <w:rPr>
          <w:rFonts w:hint="eastAsia" w:ascii="宋体" w:hAnsi="宋体"/>
          <w:color w:val="auto"/>
          <w:sz w:val="22"/>
          <w:szCs w:val="22"/>
        </w:rPr>
        <w:t>⑤</w:t>
      </w:r>
      <w:r>
        <w:rPr>
          <w:rFonts w:ascii="宋体" w:hAnsi="宋体"/>
          <w:color w:val="auto"/>
          <w:sz w:val="22"/>
          <w:szCs w:val="22"/>
        </w:rPr>
        <w:t xml:space="preserve"> </w:t>
      </w:r>
      <w:r>
        <w:rPr>
          <w:rFonts w:hint="eastAsia" w:ascii="宋体" w:hAnsi="宋体"/>
          <w:color w:val="auto"/>
          <w:sz w:val="22"/>
          <w:szCs w:val="22"/>
        </w:rPr>
        <w:t>对损坏严重、危及安全的城市桥梁，提出限载以至暂时限制交通的建议。</w:t>
      </w:r>
      <w:bookmarkEnd w:id="65"/>
      <w:bookmarkEnd w:id="66"/>
    </w:p>
    <w:p>
      <w:pPr>
        <w:spacing w:line="420" w:lineRule="atLeast"/>
        <w:ind w:firstLine="629" w:firstLineChars="286"/>
        <w:rPr>
          <w:rFonts w:ascii="宋体"/>
          <w:color w:val="auto"/>
          <w:sz w:val="22"/>
          <w:szCs w:val="22"/>
        </w:rPr>
      </w:pPr>
      <w:bookmarkStart w:id="67" w:name="_Toc518055723"/>
      <w:bookmarkStart w:id="68" w:name="_Toc518050543"/>
      <w:r>
        <w:rPr>
          <w:rFonts w:hint="eastAsia" w:ascii="宋体" w:hAnsi="宋体"/>
          <w:color w:val="auto"/>
          <w:sz w:val="22"/>
          <w:szCs w:val="22"/>
        </w:rPr>
        <w:t>⑥</w:t>
      </w:r>
      <w:r>
        <w:rPr>
          <w:rFonts w:ascii="宋体" w:hAnsi="宋体"/>
          <w:color w:val="auto"/>
          <w:sz w:val="22"/>
          <w:szCs w:val="22"/>
        </w:rPr>
        <w:t xml:space="preserve"> </w:t>
      </w:r>
      <w:r>
        <w:rPr>
          <w:rFonts w:hint="eastAsia" w:ascii="宋体" w:hAnsi="宋体"/>
          <w:color w:val="auto"/>
          <w:sz w:val="22"/>
          <w:szCs w:val="22"/>
        </w:rPr>
        <w:t>根据桥梁技术状况，提出下次检测时间的建议。</w:t>
      </w:r>
      <w:bookmarkEnd w:id="67"/>
      <w:bookmarkEnd w:id="68"/>
    </w:p>
    <w:p>
      <w:pPr>
        <w:spacing w:line="420" w:lineRule="atLeast"/>
        <w:ind w:firstLine="629" w:firstLineChars="286"/>
        <w:rPr>
          <w:rFonts w:ascii="宋体"/>
          <w:color w:val="auto"/>
          <w:sz w:val="22"/>
          <w:szCs w:val="22"/>
        </w:rPr>
      </w:pPr>
      <w:bookmarkStart w:id="69" w:name="_Toc518055724"/>
      <w:bookmarkStart w:id="70" w:name="_Toc518050544"/>
      <w:r>
        <w:rPr>
          <w:rFonts w:hint="eastAsia" w:ascii="宋体" w:hAnsi="宋体"/>
          <w:color w:val="auto"/>
          <w:sz w:val="22"/>
          <w:szCs w:val="22"/>
        </w:rPr>
        <w:t>⑦《城市桥梁养护技术标准》（</w:t>
      </w:r>
      <w:r>
        <w:rPr>
          <w:rFonts w:ascii="宋体" w:hAnsi="宋体"/>
          <w:color w:val="auto"/>
          <w:sz w:val="22"/>
          <w:szCs w:val="22"/>
        </w:rPr>
        <w:t>CJJ99-2017</w:t>
      </w:r>
      <w:r>
        <w:rPr>
          <w:rFonts w:hint="eastAsia" w:ascii="宋体" w:hAnsi="宋体"/>
          <w:color w:val="auto"/>
          <w:sz w:val="22"/>
          <w:szCs w:val="22"/>
        </w:rPr>
        <w:t>）中常规定期检测包括的其他内容。</w:t>
      </w:r>
      <w:bookmarkEnd w:id="69"/>
      <w:bookmarkEnd w:id="70"/>
    </w:p>
    <w:p>
      <w:pPr>
        <w:spacing w:line="420" w:lineRule="atLeast"/>
        <w:ind w:firstLine="629" w:firstLineChars="286"/>
        <w:rPr>
          <w:rFonts w:ascii="宋体"/>
          <w:color w:val="auto"/>
          <w:sz w:val="22"/>
          <w:szCs w:val="22"/>
        </w:rPr>
      </w:pPr>
      <w:bookmarkStart w:id="71" w:name="_Toc518055725"/>
      <w:bookmarkStart w:id="72" w:name="_Toc518050545"/>
      <w:r>
        <w:rPr>
          <w:rFonts w:ascii="宋体" w:hAnsi="宋体"/>
          <w:color w:val="auto"/>
          <w:sz w:val="22"/>
          <w:szCs w:val="22"/>
        </w:rPr>
        <w:t>4</w:t>
      </w:r>
      <w:r>
        <w:rPr>
          <w:rFonts w:hint="eastAsia" w:ascii="宋体" w:hAnsi="宋体"/>
          <w:color w:val="auto"/>
          <w:sz w:val="22"/>
          <w:szCs w:val="22"/>
        </w:rPr>
        <w:t>）</w:t>
      </w:r>
      <w:r>
        <w:rPr>
          <w:rFonts w:ascii="宋体" w:hAnsi="宋体"/>
          <w:color w:val="auto"/>
          <w:sz w:val="22"/>
          <w:szCs w:val="22"/>
        </w:rPr>
        <w:t xml:space="preserve"> </w:t>
      </w:r>
      <w:r>
        <w:rPr>
          <w:rFonts w:hint="eastAsia" w:ascii="宋体" w:hAnsi="宋体"/>
          <w:color w:val="auto"/>
          <w:sz w:val="22"/>
          <w:szCs w:val="22"/>
        </w:rPr>
        <w:t>检测范围：</w:t>
      </w:r>
      <w:bookmarkEnd w:id="71"/>
      <w:bookmarkEnd w:id="72"/>
    </w:p>
    <w:p>
      <w:pPr>
        <w:spacing w:line="420" w:lineRule="atLeast"/>
        <w:ind w:firstLine="629" w:firstLineChars="286"/>
        <w:rPr>
          <w:rFonts w:ascii="宋体"/>
          <w:color w:val="auto"/>
          <w:sz w:val="22"/>
          <w:szCs w:val="22"/>
        </w:rPr>
      </w:pPr>
      <w:bookmarkStart w:id="73" w:name="_Toc518055726"/>
      <w:bookmarkStart w:id="74" w:name="_Toc518050546"/>
      <w:r>
        <w:rPr>
          <w:rFonts w:hint="eastAsia" w:ascii="宋体" w:hAnsi="宋体"/>
          <w:color w:val="auto"/>
          <w:sz w:val="22"/>
          <w:szCs w:val="22"/>
        </w:rPr>
        <w:t>①</w:t>
      </w:r>
      <w:r>
        <w:rPr>
          <w:rFonts w:ascii="宋体" w:hAnsi="宋体"/>
          <w:color w:val="auto"/>
          <w:sz w:val="22"/>
          <w:szCs w:val="22"/>
        </w:rPr>
        <w:t xml:space="preserve"> </w:t>
      </w:r>
      <w:r>
        <w:rPr>
          <w:rFonts w:hint="eastAsia" w:ascii="宋体" w:hAnsi="宋体"/>
          <w:color w:val="auto"/>
          <w:sz w:val="22"/>
          <w:szCs w:val="22"/>
        </w:rPr>
        <w:t>桥面系：桥面铺装、桥头搭板、伸缩装置、排水系统、人行道、护栏等。</w:t>
      </w:r>
      <w:bookmarkEnd w:id="73"/>
      <w:bookmarkEnd w:id="74"/>
    </w:p>
    <w:p>
      <w:pPr>
        <w:spacing w:line="420" w:lineRule="atLeast"/>
        <w:ind w:firstLine="629" w:firstLineChars="286"/>
        <w:rPr>
          <w:rFonts w:ascii="宋体"/>
          <w:color w:val="auto"/>
          <w:sz w:val="22"/>
          <w:szCs w:val="22"/>
        </w:rPr>
      </w:pPr>
      <w:bookmarkStart w:id="75" w:name="_Toc518055727"/>
      <w:bookmarkStart w:id="76" w:name="_Toc518050547"/>
      <w:r>
        <w:rPr>
          <w:rFonts w:hint="eastAsia" w:ascii="宋体" w:hAnsi="宋体"/>
          <w:color w:val="auto"/>
          <w:sz w:val="22"/>
          <w:szCs w:val="22"/>
        </w:rPr>
        <w:t>②</w:t>
      </w:r>
      <w:r>
        <w:rPr>
          <w:rFonts w:ascii="宋体" w:hAnsi="宋体"/>
          <w:color w:val="auto"/>
          <w:sz w:val="22"/>
          <w:szCs w:val="22"/>
        </w:rPr>
        <w:t xml:space="preserve"> </w:t>
      </w:r>
      <w:r>
        <w:rPr>
          <w:rFonts w:hint="eastAsia" w:ascii="宋体" w:hAnsi="宋体"/>
          <w:color w:val="auto"/>
          <w:sz w:val="22"/>
          <w:szCs w:val="22"/>
        </w:rPr>
        <w:t>上部结构：主梁、主桁架、主拱圈、横梁、横向联系、主节点、挂梁、联结件等。</w:t>
      </w:r>
      <w:bookmarkEnd w:id="75"/>
      <w:bookmarkEnd w:id="76"/>
    </w:p>
    <w:p>
      <w:pPr>
        <w:spacing w:line="420" w:lineRule="atLeast"/>
        <w:ind w:firstLine="629" w:firstLineChars="286"/>
        <w:rPr>
          <w:rFonts w:ascii="宋体"/>
          <w:color w:val="auto"/>
          <w:sz w:val="22"/>
          <w:szCs w:val="22"/>
        </w:rPr>
      </w:pPr>
      <w:bookmarkStart w:id="77" w:name="_Toc518055728"/>
      <w:bookmarkStart w:id="78" w:name="_Toc518050548"/>
      <w:r>
        <w:rPr>
          <w:rFonts w:hint="eastAsia" w:ascii="宋体" w:hAnsi="宋体"/>
          <w:color w:val="auto"/>
          <w:sz w:val="22"/>
          <w:szCs w:val="22"/>
        </w:rPr>
        <w:t>③</w:t>
      </w:r>
      <w:r>
        <w:rPr>
          <w:rFonts w:ascii="宋体" w:hAnsi="宋体"/>
          <w:color w:val="auto"/>
          <w:sz w:val="22"/>
          <w:szCs w:val="22"/>
        </w:rPr>
        <w:t xml:space="preserve"> </w:t>
      </w:r>
      <w:r>
        <w:rPr>
          <w:rFonts w:hint="eastAsia" w:ascii="宋体" w:hAnsi="宋体"/>
          <w:color w:val="auto"/>
          <w:sz w:val="22"/>
          <w:szCs w:val="22"/>
        </w:rPr>
        <w:t>下部结构：支座、盖梁、墩身、台帽、台身、翼墙、锥坡及河床冲刷情况。</w:t>
      </w:r>
      <w:bookmarkEnd w:id="77"/>
      <w:bookmarkEnd w:id="78"/>
    </w:p>
    <w:p>
      <w:pPr>
        <w:spacing w:line="420" w:lineRule="atLeast"/>
        <w:ind w:firstLine="629" w:firstLineChars="286"/>
        <w:rPr>
          <w:rFonts w:ascii="宋体"/>
          <w:color w:val="auto"/>
          <w:sz w:val="22"/>
          <w:szCs w:val="22"/>
        </w:rPr>
      </w:pPr>
      <w:bookmarkStart w:id="79" w:name="_Toc518055729"/>
      <w:bookmarkStart w:id="80" w:name="_Toc518050549"/>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）结构定期检测：</w:t>
      </w:r>
      <w:bookmarkEnd w:id="79"/>
      <w:bookmarkEnd w:id="80"/>
    </w:p>
    <w:p>
      <w:pPr>
        <w:spacing w:line="420" w:lineRule="atLeast"/>
        <w:ind w:firstLine="629" w:firstLineChars="286"/>
        <w:rPr>
          <w:rFonts w:ascii="宋体"/>
          <w:color w:val="auto"/>
          <w:sz w:val="22"/>
          <w:szCs w:val="22"/>
        </w:rPr>
      </w:pPr>
      <w:bookmarkStart w:id="81" w:name="_Toc518055730"/>
      <w:bookmarkStart w:id="82" w:name="_Toc518050550"/>
      <w:r>
        <w:rPr>
          <w:rFonts w:ascii="宋体" w:hAnsi="宋体"/>
          <w:color w:val="auto"/>
          <w:sz w:val="22"/>
          <w:szCs w:val="22"/>
        </w:rPr>
        <w:t>1</w:t>
      </w:r>
      <w:r>
        <w:rPr>
          <w:rFonts w:hint="eastAsia" w:ascii="宋体" w:hAnsi="宋体"/>
          <w:color w:val="auto"/>
          <w:sz w:val="22"/>
          <w:szCs w:val="22"/>
        </w:rPr>
        <w:t>）每座桥梁每年检测一次，合同期内每座桥梁最少完成三次；检测时间由采购人和中标人商定。</w:t>
      </w:r>
      <w:bookmarkEnd w:id="81"/>
      <w:bookmarkEnd w:id="82"/>
    </w:p>
    <w:p>
      <w:pPr>
        <w:spacing w:line="420" w:lineRule="atLeast"/>
        <w:ind w:firstLine="629" w:firstLineChars="286"/>
        <w:rPr>
          <w:rFonts w:ascii="宋体"/>
          <w:color w:val="auto"/>
          <w:sz w:val="22"/>
          <w:szCs w:val="22"/>
        </w:rPr>
      </w:pPr>
      <w:bookmarkStart w:id="83" w:name="_Toc518055731"/>
      <w:bookmarkStart w:id="84" w:name="_Toc518050551"/>
      <w:r>
        <w:rPr>
          <w:rFonts w:ascii="宋体" w:hAnsi="宋体"/>
          <w:color w:val="auto"/>
          <w:sz w:val="22"/>
          <w:szCs w:val="22"/>
        </w:rPr>
        <w:t>2</w:t>
      </w:r>
      <w:r>
        <w:rPr>
          <w:rFonts w:hint="eastAsia" w:ascii="宋体" w:hAnsi="宋体"/>
          <w:color w:val="auto"/>
          <w:sz w:val="22"/>
          <w:szCs w:val="22"/>
        </w:rPr>
        <w:t>）检测内容：</w:t>
      </w:r>
      <w:bookmarkEnd w:id="83"/>
      <w:bookmarkEnd w:id="84"/>
    </w:p>
    <w:p>
      <w:pPr>
        <w:spacing w:line="420" w:lineRule="atLeast"/>
        <w:ind w:firstLine="629" w:firstLineChars="286"/>
        <w:rPr>
          <w:rFonts w:ascii="宋体"/>
          <w:color w:val="auto"/>
          <w:sz w:val="22"/>
          <w:szCs w:val="22"/>
        </w:rPr>
      </w:pPr>
      <w:bookmarkStart w:id="85" w:name="_Toc518050552"/>
      <w:bookmarkStart w:id="86" w:name="_Toc518055732"/>
      <w:r>
        <w:rPr>
          <w:rFonts w:hint="eastAsia" w:ascii="宋体" w:hAnsi="宋体"/>
          <w:color w:val="auto"/>
          <w:sz w:val="22"/>
          <w:szCs w:val="22"/>
        </w:rPr>
        <w:t>①</w:t>
      </w:r>
      <w:r>
        <w:rPr>
          <w:rFonts w:ascii="宋体" w:hAnsi="宋体"/>
          <w:color w:val="auto"/>
          <w:sz w:val="22"/>
          <w:szCs w:val="22"/>
        </w:rPr>
        <w:t xml:space="preserve"> </w:t>
      </w:r>
      <w:r>
        <w:rPr>
          <w:rFonts w:hint="eastAsia" w:ascii="宋体" w:hAnsi="宋体"/>
          <w:color w:val="auto"/>
          <w:sz w:val="22"/>
          <w:szCs w:val="22"/>
        </w:rPr>
        <w:t>查阅历次检测报告和常规定期检测中提出的建议。</w:t>
      </w:r>
      <w:bookmarkEnd w:id="85"/>
      <w:bookmarkEnd w:id="86"/>
    </w:p>
    <w:p>
      <w:pPr>
        <w:spacing w:line="420" w:lineRule="atLeast"/>
        <w:ind w:firstLine="629" w:firstLineChars="286"/>
        <w:rPr>
          <w:rFonts w:ascii="宋体"/>
          <w:color w:val="auto"/>
          <w:sz w:val="22"/>
          <w:szCs w:val="22"/>
        </w:rPr>
      </w:pPr>
      <w:bookmarkStart w:id="87" w:name="_Toc518050553"/>
      <w:bookmarkStart w:id="88" w:name="_Toc518055733"/>
      <w:r>
        <w:rPr>
          <w:rFonts w:hint="eastAsia" w:ascii="宋体" w:hAnsi="宋体"/>
          <w:color w:val="auto"/>
          <w:sz w:val="22"/>
          <w:szCs w:val="22"/>
        </w:rPr>
        <w:t>②</w:t>
      </w:r>
      <w:r>
        <w:rPr>
          <w:rFonts w:ascii="宋体" w:hAnsi="宋体"/>
          <w:color w:val="auto"/>
          <w:sz w:val="22"/>
          <w:szCs w:val="22"/>
        </w:rPr>
        <w:t xml:space="preserve"> </w:t>
      </w:r>
      <w:r>
        <w:rPr>
          <w:rFonts w:hint="eastAsia" w:ascii="宋体" w:hAnsi="宋体"/>
          <w:color w:val="auto"/>
          <w:sz w:val="22"/>
          <w:szCs w:val="22"/>
        </w:rPr>
        <w:t>根据外观检测以及常规定期检测中桥梁状况评定结果，进行结构构件的检测。</w:t>
      </w:r>
      <w:bookmarkEnd w:id="87"/>
      <w:bookmarkEnd w:id="88"/>
    </w:p>
    <w:p>
      <w:pPr>
        <w:spacing w:line="420" w:lineRule="atLeast"/>
        <w:ind w:firstLine="629" w:firstLineChars="286"/>
        <w:rPr>
          <w:rFonts w:ascii="宋体"/>
          <w:color w:val="auto"/>
          <w:sz w:val="22"/>
          <w:szCs w:val="22"/>
        </w:rPr>
      </w:pPr>
      <w:bookmarkStart w:id="89" w:name="_Toc518050554"/>
      <w:bookmarkStart w:id="90" w:name="_Toc518055734"/>
      <w:r>
        <w:rPr>
          <w:rFonts w:hint="eastAsia" w:ascii="宋体" w:hAnsi="宋体"/>
          <w:color w:val="auto"/>
          <w:sz w:val="22"/>
          <w:szCs w:val="22"/>
        </w:rPr>
        <w:t>③</w:t>
      </w:r>
      <w:r>
        <w:rPr>
          <w:rFonts w:ascii="宋体" w:hAnsi="宋体"/>
          <w:color w:val="auto"/>
          <w:sz w:val="22"/>
          <w:szCs w:val="22"/>
        </w:rPr>
        <w:t xml:space="preserve"> </w:t>
      </w:r>
      <w:r>
        <w:rPr>
          <w:rFonts w:hint="eastAsia" w:ascii="宋体" w:hAnsi="宋体"/>
          <w:color w:val="auto"/>
          <w:sz w:val="22"/>
          <w:szCs w:val="22"/>
        </w:rPr>
        <w:t>通过材料取样试验确认材料特征、退化的程度和退化的性质。</w:t>
      </w:r>
      <w:bookmarkEnd w:id="89"/>
      <w:bookmarkEnd w:id="90"/>
    </w:p>
    <w:p>
      <w:pPr>
        <w:spacing w:line="420" w:lineRule="atLeast"/>
        <w:ind w:firstLine="629" w:firstLineChars="286"/>
        <w:rPr>
          <w:rFonts w:ascii="宋体"/>
          <w:color w:val="auto"/>
          <w:sz w:val="22"/>
          <w:szCs w:val="22"/>
        </w:rPr>
      </w:pPr>
      <w:bookmarkStart w:id="91" w:name="_Toc518055735"/>
      <w:bookmarkStart w:id="92" w:name="_Toc518050555"/>
      <w:r>
        <w:rPr>
          <w:rFonts w:hint="eastAsia" w:ascii="宋体" w:hAnsi="宋体"/>
          <w:color w:val="auto"/>
          <w:sz w:val="22"/>
          <w:szCs w:val="22"/>
        </w:rPr>
        <w:t>④</w:t>
      </w:r>
      <w:r>
        <w:rPr>
          <w:rFonts w:ascii="宋体" w:hAnsi="宋体"/>
          <w:color w:val="auto"/>
          <w:sz w:val="22"/>
          <w:szCs w:val="22"/>
        </w:rPr>
        <w:t xml:space="preserve"> </w:t>
      </w:r>
      <w:r>
        <w:rPr>
          <w:rFonts w:hint="eastAsia" w:ascii="宋体" w:hAnsi="宋体"/>
          <w:color w:val="auto"/>
          <w:sz w:val="22"/>
          <w:szCs w:val="22"/>
        </w:rPr>
        <w:t>分析确定退化的原因，记忆对结构性能和耐久性的影响。</w:t>
      </w:r>
      <w:bookmarkEnd w:id="91"/>
      <w:bookmarkEnd w:id="92"/>
    </w:p>
    <w:p>
      <w:pPr>
        <w:spacing w:line="420" w:lineRule="atLeast"/>
        <w:ind w:firstLine="629" w:firstLineChars="286"/>
        <w:rPr>
          <w:rFonts w:ascii="宋体"/>
          <w:color w:val="auto"/>
          <w:sz w:val="22"/>
          <w:szCs w:val="22"/>
        </w:rPr>
      </w:pPr>
      <w:bookmarkStart w:id="93" w:name="_Toc518055736"/>
      <w:bookmarkStart w:id="94" w:name="_Toc518050556"/>
      <w:r>
        <w:rPr>
          <w:rFonts w:hint="eastAsia" w:ascii="宋体" w:hAnsi="宋体"/>
          <w:color w:val="auto"/>
          <w:sz w:val="22"/>
          <w:szCs w:val="22"/>
        </w:rPr>
        <w:t>⑤</w:t>
      </w:r>
      <w:r>
        <w:rPr>
          <w:rFonts w:ascii="宋体" w:hAnsi="宋体"/>
          <w:color w:val="auto"/>
          <w:sz w:val="22"/>
          <w:szCs w:val="22"/>
        </w:rPr>
        <w:t xml:space="preserve"> </w:t>
      </w:r>
      <w:r>
        <w:rPr>
          <w:rFonts w:hint="eastAsia" w:ascii="宋体" w:hAnsi="宋体"/>
          <w:color w:val="auto"/>
          <w:sz w:val="22"/>
          <w:szCs w:val="22"/>
        </w:rPr>
        <w:t>对可能影响结构正常工作的构件，评价其在下一次检查之前的退化情况。</w:t>
      </w:r>
      <w:bookmarkEnd w:id="93"/>
      <w:bookmarkEnd w:id="94"/>
    </w:p>
    <w:p>
      <w:pPr>
        <w:spacing w:line="420" w:lineRule="atLeast"/>
        <w:ind w:firstLine="629" w:firstLineChars="286"/>
        <w:rPr>
          <w:rFonts w:ascii="宋体"/>
          <w:color w:val="auto"/>
          <w:sz w:val="22"/>
          <w:szCs w:val="22"/>
        </w:rPr>
      </w:pPr>
      <w:bookmarkStart w:id="95" w:name="_Toc518055737"/>
      <w:bookmarkStart w:id="96" w:name="_Toc518050557"/>
      <w:r>
        <w:rPr>
          <w:rFonts w:hint="eastAsia" w:ascii="宋体" w:hAnsi="宋体"/>
          <w:color w:val="auto"/>
          <w:sz w:val="22"/>
          <w:szCs w:val="22"/>
        </w:rPr>
        <w:t>⑥</w:t>
      </w:r>
      <w:r>
        <w:rPr>
          <w:rFonts w:ascii="宋体" w:hAnsi="宋体"/>
          <w:color w:val="auto"/>
          <w:sz w:val="22"/>
          <w:szCs w:val="22"/>
        </w:rPr>
        <w:t xml:space="preserve"> </w:t>
      </w:r>
      <w:r>
        <w:rPr>
          <w:rFonts w:hint="eastAsia" w:ascii="宋体" w:hAnsi="宋体"/>
          <w:color w:val="auto"/>
          <w:sz w:val="22"/>
          <w:szCs w:val="22"/>
        </w:rPr>
        <w:t>检测桥梁水下桩基的淤积、冲刷等现象，水位记录。</w:t>
      </w:r>
      <w:bookmarkEnd w:id="95"/>
      <w:bookmarkEnd w:id="96"/>
    </w:p>
    <w:p>
      <w:pPr>
        <w:spacing w:line="420" w:lineRule="atLeast"/>
        <w:ind w:firstLine="629" w:firstLineChars="286"/>
        <w:rPr>
          <w:rFonts w:ascii="宋体"/>
          <w:color w:val="auto"/>
          <w:sz w:val="22"/>
          <w:szCs w:val="22"/>
        </w:rPr>
      </w:pPr>
      <w:bookmarkStart w:id="97" w:name="_Toc518050558"/>
      <w:bookmarkStart w:id="98" w:name="_Toc518055738"/>
      <w:r>
        <w:rPr>
          <w:rFonts w:hint="eastAsia" w:ascii="宋体" w:hAnsi="宋体"/>
          <w:color w:val="auto"/>
          <w:sz w:val="22"/>
          <w:szCs w:val="22"/>
        </w:rPr>
        <w:t>⑦通过综合检测评定，确定具有潜在退化可能的桥梁构件，提出相应的养护措施。</w:t>
      </w:r>
      <w:bookmarkEnd w:id="97"/>
      <w:bookmarkEnd w:id="98"/>
    </w:p>
    <w:p>
      <w:pPr>
        <w:spacing w:line="420" w:lineRule="atLeast"/>
        <w:ind w:firstLine="629" w:firstLineChars="286"/>
        <w:rPr>
          <w:rFonts w:ascii="宋体"/>
          <w:color w:val="auto"/>
          <w:sz w:val="22"/>
          <w:szCs w:val="22"/>
        </w:rPr>
      </w:pPr>
      <w:bookmarkStart w:id="99" w:name="_Toc518050559"/>
      <w:bookmarkStart w:id="100" w:name="_Toc518055739"/>
      <w:r>
        <w:rPr>
          <w:rFonts w:ascii="宋体" w:hAnsi="宋体"/>
          <w:color w:val="auto"/>
          <w:sz w:val="22"/>
          <w:szCs w:val="22"/>
        </w:rPr>
        <w:t>3</w:t>
      </w:r>
      <w:r>
        <w:rPr>
          <w:rFonts w:hint="eastAsia" w:ascii="宋体" w:hAnsi="宋体"/>
          <w:color w:val="auto"/>
          <w:sz w:val="22"/>
          <w:szCs w:val="22"/>
        </w:rPr>
        <w:t>）《城市桥梁养护技术标准》（</w:t>
      </w:r>
      <w:r>
        <w:rPr>
          <w:rFonts w:ascii="宋体" w:hAnsi="宋体"/>
          <w:color w:val="auto"/>
          <w:sz w:val="22"/>
          <w:szCs w:val="22"/>
        </w:rPr>
        <w:t>CJJ99-2017</w:t>
      </w:r>
      <w:r>
        <w:rPr>
          <w:rFonts w:hint="eastAsia" w:ascii="宋体" w:hAnsi="宋体"/>
          <w:color w:val="auto"/>
          <w:sz w:val="22"/>
          <w:szCs w:val="22"/>
        </w:rPr>
        <w:t>）中结构定期检测包含的其他服务内容。</w:t>
      </w:r>
      <w:bookmarkEnd w:id="99"/>
      <w:bookmarkEnd w:id="100"/>
    </w:p>
    <w:p>
      <w:pPr>
        <w:spacing w:line="420" w:lineRule="atLeast"/>
        <w:ind w:firstLine="629" w:firstLineChars="286"/>
        <w:rPr>
          <w:rFonts w:ascii="宋体"/>
          <w:color w:val="auto"/>
          <w:sz w:val="22"/>
          <w:szCs w:val="22"/>
        </w:rPr>
      </w:pPr>
      <w:bookmarkStart w:id="101" w:name="_Toc518050560"/>
      <w:bookmarkStart w:id="102" w:name="_Toc518055740"/>
      <w:r>
        <w:rPr>
          <w:rFonts w:ascii="宋体" w:hAnsi="宋体"/>
          <w:color w:val="auto"/>
          <w:sz w:val="22"/>
          <w:szCs w:val="22"/>
        </w:rPr>
        <w:t>4</w:t>
      </w:r>
      <w:r>
        <w:rPr>
          <w:rFonts w:hint="eastAsia" w:ascii="宋体" w:hAnsi="宋体"/>
          <w:color w:val="auto"/>
          <w:sz w:val="22"/>
          <w:szCs w:val="22"/>
        </w:rPr>
        <w:t>）根据使用和养护要求，结合定期检测的结果，重点选择下列内容进行无损检测：</w:t>
      </w:r>
      <w:bookmarkEnd w:id="101"/>
      <w:bookmarkEnd w:id="102"/>
    </w:p>
    <w:p>
      <w:pPr>
        <w:spacing w:line="420" w:lineRule="atLeast"/>
        <w:ind w:firstLine="629" w:firstLineChars="286"/>
        <w:rPr>
          <w:rFonts w:ascii="宋体"/>
          <w:color w:val="auto"/>
          <w:sz w:val="22"/>
          <w:szCs w:val="22"/>
        </w:rPr>
      </w:pPr>
      <w:bookmarkStart w:id="103" w:name="_Toc518050561"/>
      <w:bookmarkStart w:id="104" w:name="_Toc518055741"/>
      <w:r>
        <w:rPr>
          <w:rFonts w:ascii="宋体" w:hAnsi="宋体"/>
          <w:color w:val="auto"/>
          <w:sz w:val="22"/>
          <w:szCs w:val="22"/>
        </w:rPr>
        <w:t>1.</w:t>
      </w:r>
      <w:r>
        <w:rPr>
          <w:rFonts w:hint="eastAsia" w:ascii="宋体" w:hAnsi="宋体"/>
          <w:color w:val="auto"/>
          <w:sz w:val="22"/>
          <w:szCs w:val="22"/>
        </w:rPr>
        <w:t>构件材料强度；</w:t>
      </w:r>
      <w:bookmarkEnd w:id="103"/>
      <w:bookmarkEnd w:id="104"/>
    </w:p>
    <w:p>
      <w:pPr>
        <w:spacing w:line="420" w:lineRule="atLeast"/>
        <w:ind w:firstLine="629" w:firstLineChars="286"/>
        <w:rPr>
          <w:rFonts w:ascii="宋体"/>
          <w:color w:val="auto"/>
          <w:sz w:val="22"/>
          <w:szCs w:val="22"/>
        </w:rPr>
      </w:pPr>
      <w:bookmarkStart w:id="105" w:name="_Toc518055742"/>
      <w:bookmarkStart w:id="106" w:name="_Toc518050562"/>
      <w:r>
        <w:rPr>
          <w:rFonts w:ascii="宋体" w:hAnsi="宋体"/>
          <w:color w:val="auto"/>
          <w:sz w:val="22"/>
          <w:szCs w:val="22"/>
        </w:rPr>
        <w:t>2.</w:t>
      </w:r>
      <w:r>
        <w:rPr>
          <w:rFonts w:hint="eastAsia" w:ascii="宋体" w:hAnsi="宋体"/>
          <w:color w:val="auto"/>
          <w:sz w:val="22"/>
          <w:szCs w:val="22"/>
        </w:rPr>
        <w:t>钢筋直径、间距与保护层厚度；</w:t>
      </w:r>
      <w:bookmarkEnd w:id="105"/>
      <w:bookmarkEnd w:id="106"/>
    </w:p>
    <w:p>
      <w:pPr>
        <w:spacing w:line="420" w:lineRule="atLeast"/>
        <w:ind w:firstLine="629" w:firstLineChars="286"/>
        <w:rPr>
          <w:rFonts w:ascii="宋体"/>
          <w:color w:val="auto"/>
          <w:sz w:val="22"/>
          <w:szCs w:val="22"/>
        </w:rPr>
      </w:pPr>
      <w:bookmarkStart w:id="107" w:name="_Toc518055743"/>
      <w:bookmarkStart w:id="108" w:name="_Toc518050563"/>
      <w:r>
        <w:rPr>
          <w:rFonts w:ascii="宋体" w:hAnsi="宋体"/>
          <w:color w:val="auto"/>
          <w:sz w:val="22"/>
          <w:szCs w:val="22"/>
        </w:rPr>
        <w:t>3.</w:t>
      </w:r>
      <w:r>
        <w:rPr>
          <w:rFonts w:hint="eastAsia" w:ascii="宋体" w:hAnsi="宋体"/>
          <w:color w:val="auto"/>
          <w:sz w:val="22"/>
          <w:szCs w:val="22"/>
        </w:rPr>
        <w:t>混凝土碳化状况；</w:t>
      </w:r>
      <w:bookmarkEnd w:id="107"/>
      <w:bookmarkEnd w:id="108"/>
    </w:p>
    <w:p>
      <w:pPr>
        <w:spacing w:line="420" w:lineRule="atLeast"/>
        <w:ind w:firstLine="629" w:firstLineChars="286"/>
        <w:rPr>
          <w:rFonts w:ascii="宋体"/>
          <w:color w:val="auto"/>
          <w:sz w:val="22"/>
          <w:szCs w:val="22"/>
        </w:rPr>
      </w:pPr>
      <w:bookmarkStart w:id="109" w:name="_Toc518050564"/>
      <w:bookmarkStart w:id="110" w:name="_Toc518055744"/>
      <w:r>
        <w:rPr>
          <w:rFonts w:ascii="宋体" w:hAnsi="宋体"/>
          <w:color w:val="auto"/>
          <w:sz w:val="22"/>
          <w:szCs w:val="22"/>
        </w:rPr>
        <w:t>4.</w:t>
      </w:r>
      <w:r>
        <w:rPr>
          <w:rFonts w:hint="eastAsia" w:ascii="宋体" w:hAnsi="宋体"/>
          <w:color w:val="auto"/>
          <w:sz w:val="22"/>
          <w:szCs w:val="22"/>
        </w:rPr>
        <w:t>钢筋锈蚀状况。</w:t>
      </w:r>
      <w:bookmarkEnd w:id="109"/>
      <w:bookmarkEnd w:id="110"/>
    </w:p>
    <w:p>
      <w:pPr>
        <w:spacing w:line="420" w:lineRule="atLeast"/>
        <w:ind w:firstLine="629" w:firstLineChars="286"/>
        <w:rPr>
          <w:rFonts w:ascii="宋体"/>
          <w:color w:val="auto"/>
          <w:sz w:val="22"/>
          <w:szCs w:val="22"/>
        </w:rPr>
      </w:pPr>
      <w:bookmarkStart w:id="111" w:name="_Toc518050565"/>
      <w:bookmarkStart w:id="112" w:name="_Toc518055745"/>
      <w:r>
        <w:rPr>
          <w:rFonts w:hint="eastAsia" w:ascii="宋体" w:hAnsi="宋体"/>
          <w:color w:val="auto"/>
          <w:sz w:val="22"/>
          <w:szCs w:val="22"/>
        </w:rPr>
        <w:t>根据《公路桥梁承载能力检测评定规程》</w:t>
      </w:r>
      <w:r>
        <w:rPr>
          <w:rFonts w:ascii="宋体" w:hAnsi="宋体"/>
          <w:color w:val="auto"/>
          <w:sz w:val="22"/>
          <w:szCs w:val="22"/>
        </w:rPr>
        <w:t>(JTG/T J21-2011</w:t>
      </w:r>
      <w:r>
        <w:rPr>
          <w:rFonts w:hint="eastAsia" w:ascii="宋体" w:hAnsi="宋体"/>
          <w:color w:val="auto"/>
          <w:sz w:val="22"/>
          <w:szCs w:val="22"/>
        </w:rPr>
        <w:t>），具体检测内容为：结构混凝土强度检测（回弹法），结构混凝土强度检测（超声</w:t>
      </w:r>
      <w:r>
        <w:rPr>
          <w:rFonts w:ascii="宋体"/>
          <w:color w:val="auto"/>
          <w:sz w:val="22"/>
          <w:szCs w:val="22"/>
        </w:rPr>
        <w:t>-</w:t>
      </w:r>
      <w:r>
        <w:rPr>
          <w:rFonts w:hint="eastAsia" w:ascii="宋体" w:hAnsi="宋体"/>
          <w:color w:val="auto"/>
          <w:sz w:val="22"/>
          <w:szCs w:val="22"/>
        </w:rPr>
        <w:t>回弹法），钢筋间距保护层厚度检测（电磁感应法），混凝土碳化深度检测（钻（凿））孔法，钢筋锈蚀检测（半电池电位法）等，检测工作按照规范要求实施。</w:t>
      </w:r>
      <w:bookmarkEnd w:id="111"/>
      <w:bookmarkEnd w:id="112"/>
    </w:p>
    <w:p>
      <w:pPr>
        <w:spacing w:line="420" w:lineRule="atLeast"/>
        <w:ind w:firstLine="629" w:firstLineChars="286"/>
        <w:rPr>
          <w:rFonts w:ascii="宋体"/>
          <w:color w:val="auto"/>
          <w:sz w:val="22"/>
          <w:szCs w:val="22"/>
        </w:rPr>
      </w:pPr>
      <w:bookmarkStart w:id="113" w:name="_Toc518050566"/>
      <w:bookmarkStart w:id="114" w:name="_Toc518055746"/>
      <w:r>
        <w:rPr>
          <w:rFonts w:ascii="宋体" w:hAnsi="宋体"/>
          <w:color w:val="auto"/>
          <w:sz w:val="22"/>
          <w:szCs w:val="22"/>
        </w:rPr>
        <w:t xml:space="preserve">2.2.2 </w:t>
      </w:r>
      <w:r>
        <w:rPr>
          <w:rFonts w:hint="eastAsia" w:ascii="宋体" w:hAnsi="宋体"/>
          <w:color w:val="auto"/>
          <w:sz w:val="22"/>
          <w:szCs w:val="22"/>
        </w:rPr>
        <w:t>定期检测服务要求：</w:t>
      </w:r>
      <w:bookmarkEnd w:id="113"/>
      <w:bookmarkEnd w:id="114"/>
    </w:p>
    <w:p>
      <w:pPr>
        <w:spacing w:line="420" w:lineRule="atLeast"/>
        <w:ind w:firstLine="629" w:firstLineChars="286"/>
        <w:rPr>
          <w:rFonts w:ascii="宋体"/>
          <w:color w:val="auto"/>
          <w:sz w:val="22"/>
          <w:szCs w:val="22"/>
        </w:rPr>
      </w:pPr>
      <w:bookmarkStart w:id="115" w:name="_Toc518055747"/>
      <w:bookmarkStart w:id="116" w:name="_Toc518050567"/>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）定期检测必须接近或进入各部件进行仔细检查其功能及材料的缺损状况。</w:t>
      </w:r>
      <w:bookmarkEnd w:id="115"/>
      <w:bookmarkEnd w:id="116"/>
    </w:p>
    <w:p>
      <w:pPr>
        <w:spacing w:line="420" w:lineRule="atLeast"/>
        <w:ind w:firstLine="629" w:firstLineChars="286"/>
        <w:rPr>
          <w:rFonts w:ascii="宋体"/>
          <w:color w:val="auto"/>
          <w:sz w:val="22"/>
          <w:szCs w:val="22"/>
        </w:rPr>
      </w:pPr>
      <w:bookmarkStart w:id="117" w:name="_Toc518050568"/>
      <w:bookmarkStart w:id="118" w:name="_Toc518055748"/>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）定期检测应由具有城市桥梁养护、管理、设计、施工经验的人员参加，检测负责人应具有</w:t>
      </w:r>
      <w:r>
        <w:rPr>
          <w:rFonts w:ascii="宋体" w:hAnsi="宋体"/>
          <w:color w:val="auto"/>
          <w:sz w:val="22"/>
          <w:szCs w:val="22"/>
        </w:rPr>
        <w:t>5</w:t>
      </w:r>
      <w:r>
        <w:rPr>
          <w:rFonts w:hint="eastAsia" w:ascii="宋体" w:hAnsi="宋体"/>
          <w:color w:val="auto"/>
          <w:sz w:val="22"/>
          <w:szCs w:val="22"/>
        </w:rPr>
        <w:t>年以上城市桥梁专业工作经验。</w:t>
      </w:r>
      <w:bookmarkEnd w:id="117"/>
      <w:bookmarkEnd w:id="118"/>
    </w:p>
    <w:p>
      <w:pPr>
        <w:spacing w:line="420" w:lineRule="atLeast"/>
        <w:ind w:firstLine="629" w:firstLineChars="286"/>
        <w:rPr>
          <w:rFonts w:ascii="宋体"/>
          <w:color w:val="auto"/>
          <w:sz w:val="22"/>
          <w:szCs w:val="22"/>
        </w:rPr>
      </w:pPr>
      <w:bookmarkStart w:id="119" w:name="_Toc518050569"/>
      <w:bookmarkStart w:id="120" w:name="_Toc518055749"/>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）除本合同明确要求外，定期检测内容、方法和采用的措施应遵循《城市桥梁养护技术标准》（</w:t>
      </w:r>
      <w:r>
        <w:rPr>
          <w:rFonts w:ascii="宋体" w:hAnsi="宋体"/>
          <w:color w:val="auto"/>
          <w:sz w:val="22"/>
          <w:szCs w:val="22"/>
        </w:rPr>
        <w:t>CJJ99-2017</w:t>
      </w:r>
      <w:r>
        <w:rPr>
          <w:rFonts w:hint="eastAsia" w:ascii="宋体" w:hAnsi="宋体"/>
          <w:color w:val="auto"/>
          <w:sz w:val="22"/>
          <w:szCs w:val="22"/>
        </w:rPr>
        <w:t>）的有关规定。</w:t>
      </w:r>
      <w:bookmarkEnd w:id="119"/>
      <w:bookmarkEnd w:id="120"/>
    </w:p>
    <w:p>
      <w:pPr>
        <w:spacing w:line="420" w:lineRule="atLeast"/>
        <w:ind w:firstLine="629" w:firstLineChars="286"/>
        <w:rPr>
          <w:rFonts w:ascii="宋体"/>
          <w:color w:val="auto"/>
          <w:sz w:val="22"/>
          <w:szCs w:val="22"/>
        </w:rPr>
      </w:pPr>
      <w:bookmarkStart w:id="121" w:name="_Toc518050570"/>
      <w:bookmarkStart w:id="122" w:name="_Toc518055750"/>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）检测数据的格式要满足采购人桥梁管理系统的要求，并协助采购人将数据输入系统。</w:t>
      </w:r>
      <w:bookmarkEnd w:id="121"/>
      <w:bookmarkEnd w:id="122"/>
    </w:p>
    <w:p>
      <w:pPr>
        <w:spacing w:line="420" w:lineRule="atLeast"/>
        <w:ind w:firstLine="629" w:firstLineChars="286"/>
        <w:rPr>
          <w:rFonts w:ascii="宋体"/>
          <w:color w:val="auto"/>
          <w:sz w:val="22"/>
          <w:szCs w:val="22"/>
        </w:rPr>
      </w:pPr>
      <w:bookmarkStart w:id="123" w:name="_Toc518050571"/>
      <w:bookmarkStart w:id="124" w:name="_Toc518055751"/>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）定期检测需出具有效的检测报告，若发现桥梁存在结构安全问题，应提供相关数据并提出确实的处理意见。</w:t>
      </w:r>
      <w:bookmarkEnd w:id="123"/>
      <w:bookmarkEnd w:id="124"/>
    </w:p>
    <w:p>
      <w:pPr>
        <w:spacing w:line="420" w:lineRule="atLeast"/>
        <w:ind w:firstLine="629" w:firstLineChars="286"/>
        <w:rPr>
          <w:rFonts w:ascii="宋体"/>
          <w:color w:val="auto"/>
          <w:sz w:val="22"/>
          <w:szCs w:val="22"/>
        </w:rPr>
      </w:pPr>
      <w:bookmarkStart w:id="125" w:name="_Toc518050572"/>
      <w:bookmarkStart w:id="126" w:name="_Toc518055752"/>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）常规定期检测宜以目测为主，并应配备如照相机、裂缝观测仪、探查工具及现场的辅助器材与设备等必要的量测仪器。</w:t>
      </w:r>
      <w:bookmarkEnd w:id="125"/>
      <w:bookmarkEnd w:id="126"/>
    </w:p>
    <w:p>
      <w:pPr>
        <w:spacing w:line="420" w:lineRule="atLeast"/>
        <w:ind w:firstLine="629" w:firstLineChars="286"/>
        <w:rPr>
          <w:rFonts w:ascii="宋体"/>
          <w:color w:val="auto"/>
          <w:sz w:val="22"/>
          <w:szCs w:val="22"/>
        </w:rPr>
      </w:pPr>
      <w:bookmarkStart w:id="127" w:name="_Toc518050573"/>
      <w:bookmarkStart w:id="128" w:name="_Toc518055753"/>
      <w:r>
        <w:rPr>
          <w:rFonts w:hint="eastAsia" w:ascii="宋体" w:hAnsi="宋体"/>
          <w:color w:val="auto"/>
          <w:sz w:val="22"/>
          <w:szCs w:val="22"/>
        </w:rPr>
        <w:t>（</w:t>
      </w:r>
      <w:r>
        <w:rPr>
          <w:rFonts w:ascii="宋体" w:hAnsi="宋体"/>
          <w:color w:val="auto"/>
          <w:sz w:val="22"/>
          <w:szCs w:val="22"/>
        </w:rPr>
        <w:t>7</w:t>
      </w:r>
      <w:r>
        <w:rPr>
          <w:rFonts w:hint="eastAsia" w:ascii="宋体" w:hAnsi="宋体"/>
          <w:color w:val="auto"/>
          <w:sz w:val="22"/>
          <w:szCs w:val="22"/>
        </w:rPr>
        <w:t>）常规定期检测要求每次完成所有跨的检测工作。</w:t>
      </w:r>
      <w:bookmarkEnd w:id="127"/>
      <w:bookmarkEnd w:id="128"/>
    </w:p>
    <w:p>
      <w:pPr>
        <w:spacing w:line="420" w:lineRule="atLeast"/>
        <w:ind w:firstLine="629" w:firstLineChars="286"/>
        <w:rPr>
          <w:rFonts w:ascii="宋体"/>
          <w:color w:val="auto"/>
          <w:sz w:val="22"/>
          <w:szCs w:val="22"/>
        </w:rPr>
      </w:pPr>
      <w:bookmarkStart w:id="129" w:name="_Toc518055754"/>
      <w:bookmarkStart w:id="130" w:name="_Toc518050574"/>
      <w:r>
        <w:rPr>
          <w:rFonts w:hint="eastAsia" w:ascii="宋体" w:hAnsi="宋体"/>
          <w:color w:val="auto"/>
          <w:sz w:val="22"/>
          <w:szCs w:val="22"/>
        </w:rPr>
        <w:t>（</w:t>
      </w:r>
      <w:r>
        <w:rPr>
          <w:rFonts w:ascii="宋体" w:hAnsi="宋体"/>
          <w:color w:val="auto"/>
          <w:sz w:val="22"/>
          <w:szCs w:val="22"/>
        </w:rPr>
        <w:t>8</w:t>
      </w:r>
      <w:r>
        <w:rPr>
          <w:rFonts w:hint="eastAsia" w:ascii="宋体" w:hAnsi="宋体"/>
          <w:color w:val="auto"/>
          <w:sz w:val="22"/>
          <w:szCs w:val="22"/>
        </w:rPr>
        <w:t>）跨河桥结构定期检测包括水下勘查，所需费用计入投标报价。</w:t>
      </w:r>
      <w:bookmarkEnd w:id="129"/>
      <w:bookmarkEnd w:id="130"/>
    </w:p>
    <w:p>
      <w:pPr>
        <w:spacing w:line="420" w:lineRule="atLeast"/>
        <w:ind w:firstLine="629" w:firstLineChars="286"/>
        <w:rPr>
          <w:rFonts w:ascii="宋体"/>
          <w:color w:val="auto"/>
          <w:sz w:val="22"/>
          <w:szCs w:val="22"/>
        </w:rPr>
      </w:pPr>
      <w:bookmarkStart w:id="131" w:name="_Toc518055755"/>
      <w:bookmarkStart w:id="132" w:name="_Toc518050575"/>
      <w:r>
        <w:rPr>
          <w:rFonts w:hint="eastAsia" w:ascii="宋体" w:hAnsi="宋体"/>
          <w:color w:val="auto"/>
          <w:sz w:val="22"/>
          <w:szCs w:val="22"/>
        </w:rPr>
        <w:t>（</w:t>
      </w:r>
      <w:r>
        <w:rPr>
          <w:rFonts w:ascii="宋体" w:hAnsi="宋体"/>
          <w:color w:val="auto"/>
          <w:sz w:val="22"/>
          <w:szCs w:val="22"/>
        </w:rPr>
        <w:t>9</w:t>
      </w:r>
      <w:r>
        <w:rPr>
          <w:rFonts w:hint="eastAsia" w:ascii="宋体" w:hAnsi="宋体"/>
          <w:color w:val="auto"/>
          <w:sz w:val="22"/>
          <w:szCs w:val="22"/>
        </w:rPr>
        <w:t>）全面了解管养桥梁的技术状况，积极为采购人提供各项技术计算数据；协助采购人关于城市桥梁管线架设、大型广告及悬挂物设置、超限车辆通过、桥区施工作业等审批、备案事项的处理，并根据采购人的要求出具有效的安全评估报告，所需费用计入投标报价。</w:t>
      </w:r>
      <w:bookmarkEnd w:id="131"/>
      <w:bookmarkEnd w:id="132"/>
    </w:p>
    <w:p>
      <w:pPr>
        <w:spacing w:line="420" w:lineRule="atLeast"/>
        <w:ind w:firstLine="629" w:firstLineChars="286"/>
        <w:rPr>
          <w:rFonts w:ascii="宋体"/>
          <w:color w:val="auto"/>
          <w:sz w:val="22"/>
          <w:szCs w:val="22"/>
        </w:rPr>
      </w:pPr>
      <w:bookmarkStart w:id="133" w:name="_Toc518055756"/>
      <w:bookmarkStart w:id="134" w:name="_Toc518050576"/>
      <w:r>
        <w:rPr>
          <w:rFonts w:hint="eastAsia" w:ascii="宋体" w:hAnsi="宋体"/>
          <w:color w:val="auto"/>
          <w:sz w:val="22"/>
          <w:szCs w:val="22"/>
        </w:rPr>
        <w:t>（</w:t>
      </w:r>
      <w:r>
        <w:rPr>
          <w:rFonts w:ascii="宋体" w:hAnsi="宋体"/>
          <w:color w:val="auto"/>
          <w:sz w:val="22"/>
          <w:szCs w:val="22"/>
        </w:rPr>
        <w:t>10</w:t>
      </w:r>
      <w:r>
        <w:rPr>
          <w:rFonts w:hint="eastAsia" w:ascii="宋体" w:hAnsi="宋体"/>
          <w:color w:val="auto"/>
          <w:sz w:val="22"/>
          <w:szCs w:val="22"/>
        </w:rPr>
        <w:t>）《城市桥梁养护技术标准》（</w:t>
      </w:r>
      <w:r>
        <w:rPr>
          <w:rFonts w:ascii="宋体" w:hAnsi="宋体"/>
          <w:color w:val="auto"/>
          <w:sz w:val="22"/>
          <w:szCs w:val="22"/>
        </w:rPr>
        <w:t>CJJ99-2017</w:t>
      </w:r>
      <w:r>
        <w:rPr>
          <w:rFonts w:hint="eastAsia" w:ascii="宋体" w:hAnsi="宋体"/>
          <w:color w:val="auto"/>
          <w:sz w:val="22"/>
          <w:szCs w:val="22"/>
        </w:rPr>
        <w:t>）规定的其他要求。</w:t>
      </w:r>
      <w:bookmarkEnd w:id="133"/>
      <w:bookmarkEnd w:id="134"/>
    </w:p>
    <w:p>
      <w:pPr>
        <w:spacing w:line="420" w:lineRule="atLeast"/>
        <w:ind w:firstLine="632" w:firstLineChars="286"/>
        <w:rPr>
          <w:rFonts w:ascii="宋体"/>
          <w:b/>
          <w:color w:val="auto"/>
          <w:sz w:val="22"/>
          <w:szCs w:val="22"/>
        </w:rPr>
      </w:pPr>
      <w:bookmarkStart w:id="135" w:name="_Toc518050577"/>
      <w:bookmarkStart w:id="136" w:name="_Toc518055757"/>
      <w:r>
        <w:rPr>
          <w:rFonts w:ascii="宋体" w:hAnsi="宋体"/>
          <w:b/>
          <w:color w:val="auto"/>
          <w:sz w:val="22"/>
          <w:szCs w:val="22"/>
        </w:rPr>
        <w:t xml:space="preserve">2.3 </w:t>
      </w:r>
      <w:r>
        <w:rPr>
          <w:rFonts w:hint="eastAsia" w:ascii="宋体" w:hAnsi="宋体"/>
          <w:b/>
          <w:color w:val="auto"/>
          <w:sz w:val="22"/>
          <w:szCs w:val="22"/>
        </w:rPr>
        <w:t>城市桥梁日常维护</w:t>
      </w:r>
      <w:bookmarkEnd w:id="135"/>
      <w:bookmarkEnd w:id="136"/>
    </w:p>
    <w:p>
      <w:pPr>
        <w:spacing w:line="420" w:lineRule="atLeast"/>
        <w:ind w:firstLine="629" w:firstLineChars="286"/>
        <w:rPr>
          <w:rFonts w:ascii="宋体"/>
          <w:color w:val="auto"/>
          <w:sz w:val="22"/>
          <w:szCs w:val="22"/>
        </w:rPr>
      </w:pPr>
      <w:bookmarkStart w:id="137" w:name="_Toc518055758"/>
      <w:bookmarkStart w:id="138" w:name="_Toc518050578"/>
      <w:r>
        <w:rPr>
          <w:rFonts w:ascii="宋体" w:hAnsi="宋体"/>
          <w:color w:val="auto"/>
          <w:sz w:val="22"/>
          <w:szCs w:val="22"/>
        </w:rPr>
        <w:t xml:space="preserve">2.3.1 </w:t>
      </w:r>
      <w:r>
        <w:rPr>
          <w:rFonts w:hint="eastAsia" w:ascii="宋体" w:hAnsi="宋体"/>
          <w:color w:val="auto"/>
          <w:sz w:val="22"/>
          <w:szCs w:val="22"/>
        </w:rPr>
        <w:t>城市桥梁日常维护服务内容：</w:t>
      </w:r>
      <w:bookmarkEnd w:id="137"/>
      <w:bookmarkEnd w:id="138"/>
    </w:p>
    <w:p>
      <w:pPr>
        <w:spacing w:line="420" w:lineRule="atLeast"/>
        <w:ind w:firstLine="629" w:firstLineChars="286"/>
        <w:rPr>
          <w:rFonts w:ascii="宋体"/>
          <w:color w:val="auto"/>
          <w:sz w:val="22"/>
          <w:szCs w:val="22"/>
        </w:rPr>
      </w:pPr>
      <w:bookmarkStart w:id="139" w:name="_Toc518055759"/>
      <w:bookmarkStart w:id="140" w:name="_Toc518050579"/>
      <w:r>
        <w:rPr>
          <w:rFonts w:hint="eastAsia" w:ascii="宋体" w:hAnsi="宋体"/>
          <w:color w:val="auto"/>
          <w:sz w:val="22"/>
          <w:szCs w:val="22"/>
        </w:rPr>
        <w:t>桥梁日常维护费用按实结算。</w:t>
      </w:r>
      <w:bookmarkEnd w:id="139"/>
      <w:bookmarkEnd w:id="140"/>
    </w:p>
    <w:p>
      <w:pPr>
        <w:spacing w:line="420" w:lineRule="atLeast"/>
        <w:ind w:firstLine="629" w:firstLineChars="286"/>
        <w:rPr>
          <w:rFonts w:ascii="宋体"/>
          <w:color w:val="auto"/>
          <w:sz w:val="22"/>
          <w:szCs w:val="22"/>
        </w:rPr>
      </w:pPr>
      <w:bookmarkStart w:id="141" w:name="_Toc518050580"/>
      <w:bookmarkStart w:id="142" w:name="_Toc518055760"/>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）桥面系，包括桥面铺装层的缺损、桥面卷材防水层的损坏、防水混凝土结构层的损坏、桥头跳车等。</w:t>
      </w:r>
      <w:bookmarkEnd w:id="141"/>
      <w:bookmarkEnd w:id="142"/>
    </w:p>
    <w:p>
      <w:pPr>
        <w:spacing w:line="420" w:lineRule="atLeast"/>
        <w:ind w:firstLine="629" w:firstLineChars="286"/>
        <w:rPr>
          <w:rFonts w:ascii="宋体"/>
          <w:color w:val="auto"/>
          <w:sz w:val="22"/>
          <w:szCs w:val="22"/>
        </w:rPr>
      </w:pPr>
      <w:bookmarkStart w:id="143" w:name="_Toc518055761"/>
      <w:bookmarkStart w:id="144" w:name="_Toc518050581"/>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）伸缩装置，包括钢板开焊、翘曲及脱落，橡胶带老化破损，混凝土保护带开裂、松动、出现坑槽，保护带与桥面的接缝有高差等。</w:t>
      </w:r>
      <w:bookmarkEnd w:id="143"/>
      <w:bookmarkEnd w:id="144"/>
    </w:p>
    <w:p>
      <w:pPr>
        <w:spacing w:line="420" w:lineRule="atLeast"/>
        <w:ind w:firstLine="629" w:firstLineChars="286"/>
        <w:rPr>
          <w:rFonts w:ascii="宋体"/>
          <w:color w:val="auto"/>
          <w:sz w:val="22"/>
          <w:szCs w:val="22"/>
        </w:rPr>
      </w:pPr>
      <w:bookmarkStart w:id="145" w:name="_Toc518050582"/>
      <w:bookmarkStart w:id="146" w:name="_Toc518055762"/>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）桥梁支座，包括支座垫板锈蚀，支座剪切、老化，支座脱空、位移等。</w:t>
      </w:r>
      <w:bookmarkEnd w:id="145"/>
      <w:bookmarkEnd w:id="146"/>
    </w:p>
    <w:p>
      <w:pPr>
        <w:spacing w:line="420" w:lineRule="atLeast"/>
        <w:ind w:firstLine="629" w:firstLineChars="286"/>
        <w:rPr>
          <w:rFonts w:ascii="宋体"/>
          <w:color w:val="auto"/>
          <w:sz w:val="22"/>
          <w:szCs w:val="22"/>
        </w:rPr>
      </w:pPr>
      <w:bookmarkStart w:id="147" w:name="_Toc518055763"/>
      <w:bookmarkStart w:id="148" w:name="_Toc518050583"/>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）桥梁上部混凝土结构，包括渗漏、风化、保护层剥落、保护层不足、露筋、出现空洞、蜂窝麻面以及小于恒载最大限值的裂缝和其他非结构性裂缝等。</w:t>
      </w:r>
      <w:bookmarkEnd w:id="147"/>
      <w:bookmarkEnd w:id="148"/>
    </w:p>
    <w:p>
      <w:pPr>
        <w:spacing w:line="420" w:lineRule="atLeast"/>
        <w:ind w:firstLine="629" w:firstLineChars="286"/>
        <w:rPr>
          <w:rFonts w:ascii="宋体"/>
          <w:color w:val="auto"/>
          <w:sz w:val="22"/>
          <w:szCs w:val="22"/>
        </w:rPr>
      </w:pPr>
      <w:bookmarkStart w:id="149" w:name="_Toc518050584"/>
      <w:bookmarkStart w:id="150" w:name="_Toc518055764"/>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）墩台，包括混凝土表面侵蚀剥落、蜂窝麻面，小于恒载最大限值的裂缝和其他非结构性裂缝，桥台掏空，桥台锥坡及八字翼墙变形、勾缝脱落等。</w:t>
      </w:r>
      <w:bookmarkEnd w:id="149"/>
      <w:bookmarkEnd w:id="150"/>
    </w:p>
    <w:p>
      <w:pPr>
        <w:spacing w:line="420" w:lineRule="atLeast"/>
        <w:ind w:firstLine="629" w:firstLineChars="286"/>
        <w:rPr>
          <w:rFonts w:ascii="宋体"/>
          <w:color w:val="auto"/>
          <w:sz w:val="22"/>
          <w:szCs w:val="22"/>
        </w:rPr>
      </w:pPr>
      <w:bookmarkStart w:id="151" w:name="_Toc518055765"/>
      <w:bookmarkStart w:id="152" w:name="_Toc518050585"/>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）桥梁基础，包括基础局部被冲空等。</w:t>
      </w:r>
      <w:bookmarkEnd w:id="151"/>
      <w:bookmarkEnd w:id="152"/>
    </w:p>
    <w:p>
      <w:pPr>
        <w:spacing w:line="420" w:lineRule="atLeast"/>
        <w:ind w:firstLine="629" w:firstLineChars="286"/>
        <w:rPr>
          <w:rFonts w:ascii="宋体"/>
          <w:color w:val="auto"/>
          <w:sz w:val="22"/>
          <w:szCs w:val="22"/>
        </w:rPr>
      </w:pPr>
      <w:bookmarkStart w:id="153" w:name="_Toc518055766"/>
      <w:bookmarkStart w:id="154" w:name="_Toc518050586"/>
      <w:r>
        <w:rPr>
          <w:rFonts w:hint="eastAsia" w:ascii="宋体" w:hAnsi="宋体"/>
          <w:color w:val="auto"/>
          <w:sz w:val="22"/>
          <w:szCs w:val="22"/>
        </w:rPr>
        <w:t>（</w:t>
      </w:r>
      <w:r>
        <w:rPr>
          <w:rFonts w:ascii="宋体" w:hAnsi="宋体"/>
          <w:color w:val="auto"/>
          <w:sz w:val="22"/>
          <w:szCs w:val="22"/>
        </w:rPr>
        <w:t>7</w:t>
      </w:r>
      <w:r>
        <w:rPr>
          <w:rFonts w:hint="eastAsia" w:ascii="宋体" w:hAnsi="宋体"/>
          <w:color w:val="auto"/>
          <w:sz w:val="22"/>
          <w:szCs w:val="22"/>
        </w:rPr>
        <w:t>）栏杆翻新，对桥梁所有的金属栏杆进行除锈防腐及表面油漆（一底两面）翻新处理（涂刷的质量需满足有关规范要求），所采用的油漆不得低于原桥栏杆设计的技术标准。</w:t>
      </w:r>
      <w:bookmarkEnd w:id="153"/>
      <w:bookmarkEnd w:id="154"/>
    </w:p>
    <w:p>
      <w:pPr>
        <w:spacing w:line="420" w:lineRule="atLeast"/>
        <w:ind w:firstLine="629" w:firstLineChars="286"/>
        <w:rPr>
          <w:rFonts w:ascii="宋体"/>
          <w:color w:val="auto"/>
          <w:sz w:val="22"/>
          <w:szCs w:val="22"/>
        </w:rPr>
      </w:pPr>
      <w:bookmarkStart w:id="155" w:name="_Toc518055767"/>
      <w:bookmarkStart w:id="156" w:name="_Toc518050587"/>
      <w:r>
        <w:rPr>
          <w:rFonts w:hint="eastAsia" w:ascii="宋体" w:hAnsi="宋体"/>
          <w:color w:val="auto"/>
          <w:sz w:val="22"/>
          <w:szCs w:val="22"/>
        </w:rPr>
        <w:t>（</w:t>
      </w:r>
      <w:r>
        <w:rPr>
          <w:rFonts w:ascii="宋体" w:hAnsi="宋体"/>
          <w:color w:val="auto"/>
          <w:sz w:val="22"/>
          <w:szCs w:val="22"/>
        </w:rPr>
        <w:t>8</w:t>
      </w:r>
      <w:r>
        <w:rPr>
          <w:rFonts w:hint="eastAsia" w:ascii="宋体" w:hAnsi="宋体"/>
          <w:color w:val="auto"/>
          <w:sz w:val="22"/>
          <w:szCs w:val="22"/>
        </w:rPr>
        <w:t>）其他附属设施，包括桥梁桥铭牌、责任牌、指示牌等的损坏；排水系统缺损阻塞，防护设施松动、缺损变形、开裂超过</w:t>
      </w:r>
      <w:r>
        <w:rPr>
          <w:rFonts w:ascii="宋体" w:hAnsi="宋体"/>
          <w:color w:val="auto"/>
          <w:sz w:val="22"/>
          <w:szCs w:val="22"/>
        </w:rPr>
        <w:t>3mm</w:t>
      </w:r>
      <w:r>
        <w:rPr>
          <w:rFonts w:hint="eastAsia" w:ascii="宋体" w:hAnsi="宋体"/>
          <w:color w:val="auto"/>
          <w:sz w:val="22"/>
          <w:szCs w:val="22"/>
        </w:rPr>
        <w:t>，桥梁栏杆缺损，遮光板及各类指示标志的缺损，挡墙、护坡开裂、沉降，声障物的损坏、缺失，桥头搭板下沉、破损、栏杆油漆翻新等。</w:t>
      </w:r>
      <w:bookmarkEnd w:id="155"/>
      <w:bookmarkEnd w:id="156"/>
    </w:p>
    <w:p>
      <w:pPr>
        <w:spacing w:line="420" w:lineRule="atLeast"/>
        <w:ind w:firstLine="629" w:firstLineChars="286"/>
        <w:rPr>
          <w:rFonts w:ascii="宋体"/>
          <w:color w:val="auto"/>
          <w:sz w:val="22"/>
          <w:szCs w:val="22"/>
        </w:rPr>
      </w:pPr>
      <w:bookmarkStart w:id="157" w:name="_Toc518055768"/>
      <w:bookmarkStart w:id="158" w:name="_Toc518050588"/>
      <w:r>
        <w:rPr>
          <w:rFonts w:hint="eastAsia" w:ascii="宋体" w:hAnsi="宋体"/>
          <w:color w:val="auto"/>
          <w:sz w:val="22"/>
          <w:szCs w:val="22"/>
        </w:rPr>
        <w:t>（</w:t>
      </w:r>
      <w:r>
        <w:rPr>
          <w:rFonts w:ascii="宋体" w:hAnsi="宋体"/>
          <w:color w:val="auto"/>
          <w:sz w:val="22"/>
          <w:szCs w:val="22"/>
        </w:rPr>
        <w:t>9</w:t>
      </w:r>
      <w:r>
        <w:rPr>
          <w:rFonts w:hint="eastAsia" w:ascii="宋体" w:hAnsi="宋体"/>
          <w:color w:val="auto"/>
          <w:sz w:val="22"/>
          <w:szCs w:val="22"/>
        </w:rPr>
        <w:t>）《城市桥梁养护技术标准》（</w:t>
      </w:r>
      <w:r>
        <w:rPr>
          <w:rFonts w:ascii="宋体" w:hAnsi="宋体"/>
          <w:color w:val="auto"/>
          <w:sz w:val="22"/>
          <w:szCs w:val="22"/>
        </w:rPr>
        <w:t>CJJ99-2017</w:t>
      </w:r>
      <w:r>
        <w:rPr>
          <w:rFonts w:hint="eastAsia" w:ascii="宋体" w:hAnsi="宋体"/>
          <w:color w:val="auto"/>
          <w:sz w:val="22"/>
          <w:szCs w:val="22"/>
        </w:rPr>
        <w:t>）规定的其他养护内容。</w:t>
      </w:r>
      <w:bookmarkEnd w:id="157"/>
      <w:bookmarkEnd w:id="158"/>
    </w:p>
    <w:p>
      <w:pPr>
        <w:spacing w:line="420" w:lineRule="atLeast"/>
        <w:ind w:firstLine="629" w:firstLineChars="286"/>
        <w:rPr>
          <w:rFonts w:ascii="宋体"/>
          <w:color w:val="auto"/>
          <w:sz w:val="22"/>
          <w:szCs w:val="22"/>
        </w:rPr>
      </w:pPr>
      <w:bookmarkStart w:id="159" w:name="_Toc518050589"/>
      <w:bookmarkStart w:id="160" w:name="_Toc518055769"/>
      <w:r>
        <w:rPr>
          <w:rFonts w:hint="eastAsia" w:ascii="宋体" w:hAnsi="宋体"/>
          <w:color w:val="auto"/>
          <w:sz w:val="22"/>
          <w:szCs w:val="22"/>
        </w:rPr>
        <w:t>（</w:t>
      </w:r>
      <w:r>
        <w:rPr>
          <w:rFonts w:ascii="宋体" w:hAnsi="宋体"/>
          <w:color w:val="auto"/>
          <w:sz w:val="22"/>
          <w:szCs w:val="22"/>
        </w:rPr>
        <w:t>10</w:t>
      </w:r>
      <w:r>
        <w:rPr>
          <w:rFonts w:hint="eastAsia" w:ascii="宋体" w:hAnsi="宋体"/>
          <w:color w:val="auto"/>
          <w:sz w:val="22"/>
          <w:szCs w:val="22"/>
        </w:rPr>
        <w:t>）其他采购人要求维护的项目。</w:t>
      </w:r>
      <w:bookmarkEnd w:id="159"/>
      <w:bookmarkEnd w:id="160"/>
    </w:p>
    <w:p>
      <w:pPr>
        <w:spacing w:line="420" w:lineRule="atLeast"/>
        <w:ind w:firstLine="629" w:firstLineChars="286"/>
        <w:rPr>
          <w:rFonts w:ascii="宋体"/>
          <w:color w:val="auto"/>
          <w:sz w:val="22"/>
          <w:szCs w:val="22"/>
        </w:rPr>
      </w:pPr>
      <w:bookmarkStart w:id="161" w:name="_Toc518055770"/>
      <w:bookmarkStart w:id="162" w:name="_Toc518050590"/>
      <w:r>
        <w:rPr>
          <w:rFonts w:ascii="宋体" w:hAnsi="宋体"/>
          <w:color w:val="auto"/>
          <w:sz w:val="22"/>
          <w:szCs w:val="22"/>
        </w:rPr>
        <w:t xml:space="preserve">2.3.2 </w:t>
      </w:r>
      <w:r>
        <w:rPr>
          <w:rFonts w:hint="eastAsia" w:ascii="宋体" w:hAnsi="宋体"/>
          <w:color w:val="auto"/>
          <w:sz w:val="22"/>
          <w:szCs w:val="22"/>
        </w:rPr>
        <w:t>城市桥梁日常维护服务要求：</w:t>
      </w:r>
      <w:bookmarkEnd w:id="161"/>
      <w:bookmarkEnd w:id="162"/>
    </w:p>
    <w:p>
      <w:pPr>
        <w:spacing w:line="420" w:lineRule="atLeast"/>
        <w:ind w:firstLine="629" w:firstLineChars="286"/>
        <w:rPr>
          <w:rFonts w:ascii="宋体"/>
          <w:color w:val="auto"/>
          <w:sz w:val="22"/>
          <w:szCs w:val="22"/>
        </w:rPr>
      </w:pPr>
      <w:bookmarkStart w:id="163" w:name="_Toc518050591"/>
      <w:bookmarkStart w:id="164" w:name="_Toc518055771"/>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）配备充足的日常维护现场管理人员及资料员，要求不少于</w:t>
      </w:r>
      <w:r>
        <w:rPr>
          <w:rFonts w:ascii="宋体" w:hAnsi="宋体"/>
          <w:color w:val="auto"/>
          <w:sz w:val="22"/>
          <w:szCs w:val="22"/>
        </w:rPr>
        <w:t>1</w:t>
      </w:r>
      <w:r>
        <w:rPr>
          <w:rFonts w:hint="eastAsia" w:ascii="宋体" w:hAnsi="宋体"/>
          <w:color w:val="auto"/>
          <w:sz w:val="22"/>
          <w:szCs w:val="22"/>
        </w:rPr>
        <w:t>名现场管理人员（必须具备路桥专业工程师以上职称）、</w:t>
      </w:r>
      <w:r>
        <w:rPr>
          <w:rFonts w:ascii="宋体" w:hAnsi="宋体"/>
          <w:color w:val="auto"/>
          <w:sz w:val="22"/>
          <w:szCs w:val="22"/>
        </w:rPr>
        <w:t>1</w:t>
      </w:r>
      <w:r>
        <w:rPr>
          <w:rFonts w:hint="eastAsia" w:ascii="宋体" w:hAnsi="宋体"/>
          <w:color w:val="auto"/>
          <w:sz w:val="22"/>
          <w:szCs w:val="22"/>
        </w:rPr>
        <w:t>名资料员。</w:t>
      </w:r>
      <w:bookmarkEnd w:id="163"/>
      <w:bookmarkEnd w:id="164"/>
    </w:p>
    <w:p>
      <w:pPr>
        <w:spacing w:line="420" w:lineRule="atLeast"/>
        <w:ind w:firstLine="629" w:firstLineChars="286"/>
        <w:rPr>
          <w:rFonts w:ascii="宋体"/>
          <w:color w:val="auto"/>
          <w:sz w:val="22"/>
          <w:szCs w:val="22"/>
        </w:rPr>
      </w:pPr>
      <w:bookmarkStart w:id="165" w:name="_Toc518055772"/>
      <w:bookmarkStart w:id="166" w:name="_Toc518050592"/>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）提供完成日常维护所必须的设备，包括数量充足车辆（不少于</w:t>
      </w:r>
      <w:r>
        <w:rPr>
          <w:rFonts w:ascii="宋体" w:hAnsi="宋体"/>
          <w:color w:val="auto"/>
          <w:sz w:val="22"/>
          <w:szCs w:val="22"/>
        </w:rPr>
        <w:t>1</w:t>
      </w:r>
      <w:r>
        <w:rPr>
          <w:rFonts w:hint="eastAsia" w:ascii="宋体" w:hAnsi="宋体"/>
          <w:color w:val="auto"/>
          <w:sz w:val="22"/>
          <w:szCs w:val="22"/>
        </w:rPr>
        <w:t>台）、交通警示标志、施工围档（水马、雪糕筒）等必须使用的工具。</w:t>
      </w:r>
      <w:bookmarkEnd w:id="165"/>
      <w:bookmarkEnd w:id="166"/>
    </w:p>
    <w:p>
      <w:pPr>
        <w:spacing w:line="420" w:lineRule="atLeast"/>
        <w:ind w:firstLine="629" w:firstLineChars="286"/>
        <w:rPr>
          <w:rFonts w:ascii="宋体"/>
          <w:color w:val="auto"/>
          <w:sz w:val="22"/>
          <w:szCs w:val="22"/>
        </w:rPr>
      </w:pPr>
      <w:bookmarkStart w:id="167" w:name="_Toc518050593"/>
      <w:bookmarkStart w:id="168" w:name="_Toc518055773"/>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）投标人承诺当期所完成的桥梁日常维护按实结算项目的质保期为一年，质保期自完成签证之日起计算，质保期内如出现质量问题，投标人须限期修复完毕，否则处当期结算金额（下浮后）的</w:t>
      </w:r>
      <w:r>
        <w:rPr>
          <w:rFonts w:ascii="宋体" w:hAnsi="宋体"/>
          <w:color w:val="auto"/>
          <w:sz w:val="22"/>
          <w:szCs w:val="22"/>
        </w:rPr>
        <w:t>5%</w:t>
      </w:r>
      <w:r>
        <w:rPr>
          <w:rFonts w:hint="eastAsia" w:ascii="宋体" w:hAnsi="宋体"/>
          <w:color w:val="auto"/>
          <w:sz w:val="22"/>
          <w:szCs w:val="22"/>
        </w:rPr>
        <w:t>为罚金，直接从履约保证金中扣除。</w:t>
      </w:r>
      <w:bookmarkEnd w:id="167"/>
      <w:bookmarkEnd w:id="168"/>
    </w:p>
    <w:p>
      <w:pPr>
        <w:spacing w:line="420" w:lineRule="atLeast"/>
        <w:ind w:firstLine="629" w:firstLineChars="286"/>
        <w:rPr>
          <w:rFonts w:ascii="宋体"/>
          <w:color w:val="auto"/>
          <w:sz w:val="22"/>
          <w:szCs w:val="22"/>
        </w:rPr>
      </w:pPr>
      <w:bookmarkStart w:id="169" w:name="_Toc518050594"/>
      <w:bookmarkStart w:id="170" w:name="_Toc518055774"/>
      <w:r>
        <w:rPr>
          <w:rFonts w:hint="eastAsia" w:ascii="宋体" w:hAnsi="宋体"/>
          <w:color w:val="auto"/>
          <w:sz w:val="22"/>
          <w:szCs w:val="22"/>
        </w:rPr>
        <w:t>以上所有人员、设备均要求只供项目日常维护工作使用，不得与其他项目工作相重叠。</w:t>
      </w:r>
      <w:bookmarkEnd w:id="169"/>
      <w:bookmarkEnd w:id="170"/>
    </w:p>
    <w:p>
      <w:pPr>
        <w:spacing w:line="420" w:lineRule="atLeast"/>
        <w:ind w:firstLine="632" w:firstLineChars="286"/>
        <w:rPr>
          <w:rFonts w:ascii="宋体"/>
          <w:b/>
          <w:color w:val="auto"/>
          <w:sz w:val="22"/>
          <w:szCs w:val="22"/>
        </w:rPr>
      </w:pPr>
      <w:bookmarkStart w:id="171" w:name="_Toc518055775"/>
      <w:bookmarkStart w:id="172" w:name="_Toc518050595"/>
      <w:r>
        <w:rPr>
          <w:rFonts w:ascii="宋体" w:hAnsi="宋体"/>
          <w:b/>
          <w:color w:val="auto"/>
          <w:sz w:val="22"/>
          <w:szCs w:val="22"/>
        </w:rPr>
        <w:t xml:space="preserve">2.4 </w:t>
      </w:r>
      <w:r>
        <w:rPr>
          <w:rFonts w:hint="eastAsia" w:ascii="宋体" w:hAnsi="宋体"/>
          <w:b/>
          <w:color w:val="auto"/>
          <w:sz w:val="22"/>
          <w:szCs w:val="22"/>
        </w:rPr>
        <w:t>项目日常管理要求</w:t>
      </w:r>
      <w:bookmarkEnd w:id="171"/>
      <w:bookmarkEnd w:id="172"/>
    </w:p>
    <w:p>
      <w:pPr>
        <w:spacing w:line="420" w:lineRule="atLeast"/>
        <w:ind w:firstLine="629" w:firstLineChars="286"/>
        <w:rPr>
          <w:rFonts w:ascii="宋体"/>
          <w:color w:val="auto"/>
          <w:sz w:val="22"/>
          <w:szCs w:val="22"/>
        </w:rPr>
      </w:pPr>
      <w:bookmarkStart w:id="173" w:name="_Toc518055776"/>
      <w:bookmarkStart w:id="174" w:name="_Toc518050596"/>
      <w:r>
        <w:rPr>
          <w:rFonts w:ascii="宋体" w:hAnsi="宋体"/>
          <w:color w:val="auto"/>
          <w:sz w:val="22"/>
          <w:szCs w:val="22"/>
        </w:rPr>
        <w:t xml:space="preserve">2.4.1 </w:t>
      </w:r>
      <w:r>
        <w:rPr>
          <w:rFonts w:hint="eastAsia" w:ascii="宋体" w:hAnsi="宋体"/>
          <w:color w:val="auto"/>
          <w:sz w:val="22"/>
          <w:szCs w:val="22"/>
        </w:rPr>
        <w:t>在莞设置独立的检测项目部和日常维护项目部，项目部均应有独立的办公室，并设置在便于项目管理的位置。项目部应设置</w:t>
      </w:r>
      <w:r>
        <w:rPr>
          <w:rFonts w:ascii="宋体" w:hAnsi="宋体"/>
          <w:color w:val="auto"/>
          <w:sz w:val="22"/>
          <w:szCs w:val="22"/>
        </w:rPr>
        <w:t>24</w:t>
      </w:r>
      <w:r>
        <w:rPr>
          <w:rFonts w:hint="eastAsia" w:ascii="宋体" w:hAnsi="宋体"/>
          <w:color w:val="auto"/>
          <w:sz w:val="22"/>
          <w:szCs w:val="22"/>
        </w:rPr>
        <w:t>小时值班电话。</w:t>
      </w:r>
      <w:bookmarkEnd w:id="173"/>
      <w:bookmarkEnd w:id="174"/>
    </w:p>
    <w:p>
      <w:pPr>
        <w:spacing w:line="420" w:lineRule="atLeast"/>
        <w:ind w:firstLine="629" w:firstLineChars="286"/>
        <w:rPr>
          <w:rFonts w:ascii="宋体"/>
          <w:color w:val="auto"/>
          <w:sz w:val="22"/>
          <w:szCs w:val="22"/>
        </w:rPr>
      </w:pPr>
      <w:bookmarkStart w:id="175" w:name="_Toc518055777"/>
      <w:bookmarkStart w:id="176" w:name="_Toc518050597"/>
      <w:r>
        <w:rPr>
          <w:rFonts w:ascii="宋体" w:hAnsi="宋体"/>
          <w:color w:val="auto"/>
          <w:sz w:val="22"/>
          <w:szCs w:val="22"/>
        </w:rPr>
        <w:t xml:space="preserve">2.4.2 </w:t>
      </w:r>
      <w:r>
        <w:rPr>
          <w:rFonts w:hint="eastAsia" w:ascii="宋体" w:hAnsi="宋体"/>
          <w:color w:val="auto"/>
          <w:sz w:val="22"/>
          <w:szCs w:val="22"/>
        </w:rPr>
        <w:t>中标人实际投入本项目人员应与投标文件中承诺投入人员一致，若需更换，中标人应向采购人提出书面申请，经采购人审核同意后，方可更换；在项目服务过程中，中标人投入本项目人员应固定在莞。</w:t>
      </w:r>
      <w:bookmarkEnd w:id="175"/>
      <w:bookmarkEnd w:id="176"/>
    </w:p>
    <w:p>
      <w:pPr>
        <w:spacing w:line="420" w:lineRule="atLeast"/>
        <w:ind w:firstLine="629" w:firstLineChars="286"/>
        <w:rPr>
          <w:rFonts w:ascii="宋体"/>
          <w:color w:val="auto"/>
          <w:sz w:val="22"/>
          <w:szCs w:val="22"/>
        </w:rPr>
      </w:pPr>
      <w:bookmarkStart w:id="177" w:name="_Toc518050598"/>
      <w:bookmarkStart w:id="178" w:name="_Toc518055778"/>
      <w:r>
        <w:rPr>
          <w:rFonts w:ascii="宋体" w:hAnsi="宋体"/>
          <w:color w:val="auto"/>
          <w:sz w:val="22"/>
          <w:szCs w:val="22"/>
        </w:rPr>
        <w:t xml:space="preserve">2.4.3 </w:t>
      </w:r>
      <w:r>
        <w:rPr>
          <w:rFonts w:hint="eastAsia" w:ascii="宋体" w:hAnsi="宋体"/>
          <w:color w:val="auto"/>
          <w:sz w:val="22"/>
          <w:szCs w:val="22"/>
        </w:rPr>
        <w:t>建立完善的管理制度及管理人员架构，并将相关信息于项目部张贴上墙。</w:t>
      </w:r>
      <w:bookmarkEnd w:id="177"/>
      <w:bookmarkEnd w:id="178"/>
    </w:p>
    <w:p>
      <w:pPr>
        <w:spacing w:line="420" w:lineRule="atLeast"/>
        <w:ind w:firstLine="629" w:firstLineChars="286"/>
        <w:rPr>
          <w:rFonts w:ascii="宋体"/>
          <w:color w:val="auto"/>
          <w:sz w:val="22"/>
          <w:szCs w:val="22"/>
        </w:rPr>
      </w:pPr>
      <w:bookmarkStart w:id="179" w:name="_Toc518055779"/>
      <w:bookmarkStart w:id="180" w:name="_Toc518050599"/>
      <w:r>
        <w:rPr>
          <w:rFonts w:ascii="宋体" w:hAnsi="宋体"/>
          <w:color w:val="auto"/>
          <w:sz w:val="22"/>
          <w:szCs w:val="22"/>
        </w:rPr>
        <w:t xml:space="preserve">2.4.4 </w:t>
      </w:r>
      <w:r>
        <w:rPr>
          <w:rFonts w:hint="eastAsia" w:ascii="宋体" w:hAnsi="宋体"/>
          <w:color w:val="auto"/>
          <w:sz w:val="22"/>
          <w:szCs w:val="22"/>
        </w:rPr>
        <w:t>与项目相关的现场养护人员须统一着装，相关车辆须按采购人要求将项目的信息张贴于车辆显眼位置。</w:t>
      </w:r>
      <w:bookmarkEnd w:id="179"/>
      <w:bookmarkEnd w:id="180"/>
    </w:p>
    <w:p>
      <w:pPr>
        <w:spacing w:line="420" w:lineRule="atLeast"/>
        <w:ind w:firstLine="629" w:firstLineChars="286"/>
        <w:rPr>
          <w:rFonts w:ascii="宋体"/>
          <w:color w:val="auto"/>
          <w:sz w:val="22"/>
          <w:szCs w:val="22"/>
        </w:rPr>
      </w:pPr>
      <w:bookmarkStart w:id="181" w:name="_Toc518055780"/>
      <w:bookmarkStart w:id="182" w:name="_Toc518050600"/>
      <w:r>
        <w:rPr>
          <w:rFonts w:ascii="宋体" w:hAnsi="宋体"/>
          <w:color w:val="auto"/>
          <w:sz w:val="22"/>
          <w:szCs w:val="22"/>
        </w:rPr>
        <w:t xml:space="preserve">2.4.5 </w:t>
      </w:r>
      <w:r>
        <w:rPr>
          <w:rFonts w:hint="eastAsia" w:ascii="宋体" w:hAnsi="宋体"/>
          <w:color w:val="auto"/>
          <w:sz w:val="22"/>
          <w:szCs w:val="22"/>
        </w:rPr>
        <w:t>中标人必须严格按照已经确认的实施方案组织实施，并应接受采购人及其指定的监理人对服务的质量、日常维护工作期限、安全及文明施工等的要求和管制。</w:t>
      </w:r>
      <w:bookmarkEnd w:id="181"/>
      <w:bookmarkEnd w:id="182"/>
    </w:p>
    <w:p>
      <w:pPr>
        <w:spacing w:line="420" w:lineRule="atLeast"/>
        <w:ind w:firstLine="629" w:firstLineChars="286"/>
        <w:rPr>
          <w:rFonts w:ascii="宋体"/>
          <w:color w:val="auto"/>
          <w:sz w:val="22"/>
          <w:szCs w:val="22"/>
        </w:rPr>
      </w:pPr>
      <w:bookmarkStart w:id="183" w:name="_Toc518050601"/>
      <w:bookmarkStart w:id="184" w:name="_Toc518055781"/>
      <w:r>
        <w:rPr>
          <w:rFonts w:ascii="宋体" w:hAnsi="宋体"/>
          <w:color w:val="auto"/>
          <w:sz w:val="22"/>
          <w:szCs w:val="22"/>
        </w:rPr>
        <w:t xml:space="preserve">2.4.6 </w:t>
      </w:r>
      <w:r>
        <w:rPr>
          <w:rFonts w:hint="eastAsia" w:ascii="宋体" w:hAnsi="宋体"/>
          <w:color w:val="auto"/>
          <w:sz w:val="22"/>
          <w:szCs w:val="22"/>
        </w:rPr>
        <w:t>中标人在合同期内须严格遵守当地政府职能部门的各项规章制度，由于管理不善，导致政府职能部门的罚款和暂定服务整改，由其发生的费用与损失由中标人自行承担，且采购人保留追究的权利。</w:t>
      </w:r>
      <w:bookmarkEnd w:id="183"/>
      <w:bookmarkEnd w:id="184"/>
    </w:p>
    <w:p>
      <w:pPr>
        <w:spacing w:line="420" w:lineRule="atLeast"/>
        <w:ind w:firstLine="629" w:firstLineChars="286"/>
        <w:rPr>
          <w:rFonts w:ascii="宋体"/>
          <w:color w:val="auto"/>
          <w:sz w:val="22"/>
          <w:szCs w:val="22"/>
        </w:rPr>
      </w:pPr>
      <w:bookmarkStart w:id="185" w:name="_Toc518055782"/>
      <w:bookmarkStart w:id="186" w:name="_Toc518050602"/>
      <w:r>
        <w:rPr>
          <w:rFonts w:ascii="宋体" w:hAnsi="宋体"/>
          <w:color w:val="auto"/>
          <w:sz w:val="22"/>
          <w:szCs w:val="22"/>
        </w:rPr>
        <w:t xml:space="preserve">2.4.7 </w:t>
      </w:r>
      <w:r>
        <w:rPr>
          <w:rFonts w:hint="eastAsia" w:ascii="宋体" w:hAnsi="宋体"/>
          <w:color w:val="auto"/>
          <w:sz w:val="22"/>
          <w:szCs w:val="22"/>
        </w:rPr>
        <w:t>中标人应配备专项应急物资，要求配备不少于</w:t>
      </w:r>
      <w:r>
        <w:rPr>
          <w:rFonts w:ascii="宋体" w:hAnsi="宋体"/>
          <w:color w:val="auto"/>
          <w:sz w:val="22"/>
          <w:szCs w:val="22"/>
        </w:rPr>
        <w:t>200</w:t>
      </w:r>
      <w:r>
        <w:rPr>
          <w:rFonts w:hint="eastAsia" w:ascii="宋体" w:hAnsi="宋体"/>
          <w:color w:val="auto"/>
          <w:sz w:val="22"/>
          <w:szCs w:val="22"/>
        </w:rPr>
        <w:t>米的水马、</w:t>
      </w:r>
      <w:r>
        <w:rPr>
          <w:rFonts w:ascii="宋体" w:hAnsi="宋体"/>
          <w:color w:val="auto"/>
          <w:sz w:val="22"/>
          <w:szCs w:val="22"/>
        </w:rPr>
        <w:t>200</w:t>
      </w:r>
      <w:r>
        <w:rPr>
          <w:rFonts w:hint="eastAsia" w:ascii="宋体" w:hAnsi="宋体"/>
          <w:color w:val="auto"/>
          <w:sz w:val="22"/>
          <w:szCs w:val="22"/>
        </w:rPr>
        <w:t>个雪糕筒、充足的警示带、对讲机及其他应急检测设备</w:t>
      </w:r>
      <w:r>
        <w:rPr>
          <w:rFonts w:ascii="宋体"/>
          <w:color w:val="auto"/>
          <w:sz w:val="22"/>
          <w:szCs w:val="22"/>
        </w:rPr>
        <w:t>,</w:t>
      </w:r>
      <w:r>
        <w:rPr>
          <w:rFonts w:hint="eastAsia" w:ascii="宋体" w:hAnsi="宋体"/>
          <w:color w:val="auto"/>
          <w:sz w:val="22"/>
          <w:szCs w:val="22"/>
        </w:rPr>
        <w:t>所需费用计入投标报价。</w:t>
      </w:r>
      <w:bookmarkEnd w:id="185"/>
      <w:bookmarkEnd w:id="186"/>
    </w:p>
    <w:p>
      <w:pPr>
        <w:spacing w:line="420" w:lineRule="atLeast"/>
        <w:ind w:firstLine="632" w:firstLineChars="286"/>
        <w:rPr>
          <w:rFonts w:ascii="宋体"/>
          <w:b/>
          <w:color w:val="auto"/>
          <w:sz w:val="22"/>
          <w:szCs w:val="22"/>
        </w:rPr>
      </w:pPr>
      <w:bookmarkStart w:id="187" w:name="_Toc518050603"/>
      <w:bookmarkStart w:id="188" w:name="_Toc518055783"/>
      <w:r>
        <w:rPr>
          <w:rFonts w:ascii="宋体" w:hAnsi="宋体"/>
          <w:b/>
          <w:color w:val="auto"/>
          <w:sz w:val="22"/>
          <w:szCs w:val="22"/>
        </w:rPr>
        <w:t xml:space="preserve">2.5 </w:t>
      </w:r>
      <w:r>
        <w:rPr>
          <w:rFonts w:hint="eastAsia" w:ascii="宋体" w:hAnsi="宋体"/>
          <w:b/>
          <w:color w:val="auto"/>
          <w:sz w:val="22"/>
          <w:szCs w:val="22"/>
        </w:rPr>
        <w:t>其他</w:t>
      </w:r>
      <w:bookmarkEnd w:id="187"/>
      <w:bookmarkEnd w:id="188"/>
    </w:p>
    <w:p>
      <w:pPr>
        <w:spacing w:line="420" w:lineRule="atLeast"/>
        <w:ind w:firstLine="629" w:firstLineChars="286"/>
        <w:rPr>
          <w:rFonts w:ascii="宋体"/>
          <w:color w:val="auto"/>
          <w:sz w:val="22"/>
          <w:szCs w:val="22"/>
        </w:rPr>
      </w:pPr>
      <w:bookmarkStart w:id="189" w:name="_Toc518055784"/>
      <w:bookmarkStart w:id="190" w:name="_Toc518050604"/>
      <w:r>
        <w:rPr>
          <w:rFonts w:ascii="宋体" w:hAnsi="宋体"/>
          <w:color w:val="auto"/>
          <w:sz w:val="22"/>
          <w:szCs w:val="22"/>
        </w:rPr>
        <w:t xml:space="preserve">2.5.1 </w:t>
      </w:r>
      <w:r>
        <w:rPr>
          <w:rFonts w:hint="eastAsia" w:ascii="宋体" w:hAnsi="宋体"/>
          <w:color w:val="auto"/>
          <w:sz w:val="22"/>
          <w:szCs w:val="22"/>
        </w:rPr>
        <w:t>本项目执行信用评价制度，采购人对中标人经常性检查、定期检测及日常维护工作质量进行评价，并定期将中标人信用评价情况进行内部通报。</w:t>
      </w:r>
      <w:bookmarkEnd w:id="189"/>
      <w:bookmarkEnd w:id="190"/>
    </w:p>
    <w:p>
      <w:pPr>
        <w:spacing w:line="420" w:lineRule="atLeast"/>
        <w:ind w:firstLine="629" w:firstLineChars="286"/>
        <w:rPr>
          <w:rFonts w:ascii="宋体"/>
          <w:color w:val="auto"/>
          <w:sz w:val="22"/>
          <w:szCs w:val="22"/>
        </w:rPr>
      </w:pPr>
      <w:bookmarkStart w:id="191" w:name="_Toc518055785"/>
      <w:bookmarkStart w:id="192" w:name="_Toc518050605"/>
      <w:r>
        <w:rPr>
          <w:rFonts w:ascii="宋体" w:hAnsi="宋体"/>
          <w:color w:val="auto"/>
          <w:sz w:val="22"/>
          <w:szCs w:val="22"/>
        </w:rPr>
        <w:t xml:space="preserve">2.5.2 </w:t>
      </w:r>
      <w:r>
        <w:rPr>
          <w:rFonts w:hint="eastAsia" w:ascii="宋体" w:hAnsi="宋体"/>
          <w:color w:val="auto"/>
          <w:sz w:val="22"/>
          <w:szCs w:val="22"/>
        </w:rPr>
        <w:t>本项目由采购人根据工作需要确定是否执行监理制度。</w:t>
      </w:r>
      <w:bookmarkEnd w:id="191"/>
      <w:bookmarkEnd w:id="192"/>
    </w:p>
    <w:p>
      <w:pPr>
        <w:spacing w:line="420" w:lineRule="atLeast"/>
        <w:ind w:firstLine="629" w:firstLineChars="286"/>
        <w:rPr>
          <w:rFonts w:ascii="宋体"/>
          <w:color w:val="auto"/>
          <w:sz w:val="22"/>
          <w:szCs w:val="22"/>
        </w:rPr>
      </w:pPr>
      <w:bookmarkStart w:id="193" w:name="_Toc518055786"/>
      <w:bookmarkStart w:id="194" w:name="_Toc518050606"/>
      <w:r>
        <w:rPr>
          <w:rFonts w:ascii="宋体" w:hAnsi="宋体"/>
          <w:color w:val="auto"/>
          <w:sz w:val="22"/>
          <w:szCs w:val="22"/>
        </w:rPr>
        <w:t xml:space="preserve">2.5.3 </w:t>
      </w:r>
      <w:r>
        <w:rPr>
          <w:rFonts w:hint="eastAsia" w:ascii="宋体" w:hAnsi="宋体"/>
          <w:color w:val="auto"/>
          <w:sz w:val="22"/>
          <w:szCs w:val="22"/>
        </w:rPr>
        <w:t>联合体投标的有关要求</w:t>
      </w:r>
      <w:bookmarkEnd w:id="193"/>
      <w:bookmarkEnd w:id="194"/>
    </w:p>
    <w:p>
      <w:pPr>
        <w:spacing w:line="420" w:lineRule="atLeast"/>
        <w:ind w:firstLine="629" w:firstLineChars="286"/>
        <w:rPr>
          <w:rFonts w:ascii="宋体"/>
          <w:color w:val="auto"/>
          <w:sz w:val="22"/>
          <w:szCs w:val="22"/>
        </w:rPr>
      </w:pPr>
      <w:r>
        <w:rPr>
          <w:rFonts w:ascii="宋体" w:hAnsi="宋体"/>
          <w:color w:val="auto"/>
          <w:sz w:val="22"/>
          <w:szCs w:val="22"/>
        </w:rPr>
        <w:t xml:space="preserve"> </w:t>
      </w:r>
      <w:bookmarkStart w:id="195" w:name="_Toc518055787"/>
      <w:bookmarkStart w:id="196" w:name="_Toc518050607"/>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）本项目允许采用联合体投标，要求桥梁经常性检查、定期检测及日常维护单位均具备相应的资质，其中检测单位作为联合体主办人，日常维护单位由检测单位选定。</w:t>
      </w:r>
      <w:bookmarkEnd w:id="195"/>
      <w:bookmarkEnd w:id="196"/>
    </w:p>
    <w:p>
      <w:pPr>
        <w:spacing w:line="420" w:lineRule="atLeast"/>
        <w:ind w:firstLine="629" w:firstLineChars="286"/>
        <w:rPr>
          <w:rFonts w:ascii="宋体"/>
          <w:color w:val="auto"/>
          <w:sz w:val="22"/>
          <w:szCs w:val="22"/>
        </w:rPr>
      </w:pPr>
      <w:bookmarkStart w:id="197" w:name="_Toc518050608"/>
      <w:bookmarkStart w:id="198" w:name="_Toc518055788"/>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）本项目经常性检查及定期检测工作由检测单位负责，日常维护工作由日常维护单位负责。</w:t>
      </w:r>
      <w:bookmarkEnd w:id="197"/>
      <w:bookmarkEnd w:id="198"/>
    </w:p>
    <w:p>
      <w:pPr>
        <w:spacing w:line="420" w:lineRule="atLeast"/>
        <w:ind w:firstLine="629" w:firstLineChars="286"/>
        <w:rPr>
          <w:rFonts w:ascii="宋体"/>
          <w:color w:val="auto"/>
          <w:sz w:val="22"/>
          <w:szCs w:val="22"/>
        </w:rPr>
      </w:pPr>
      <w:bookmarkStart w:id="199" w:name="_Toc518050609"/>
      <w:bookmarkStart w:id="200" w:name="_Toc518055789"/>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中标联合体的检测单位是本项目桥梁经常性检查、定期检测及日常维护的直接责任人，在服务期限内产生的相关安全事故责任均由检测单位承担，其中，因维护不及时或维护不当等行为引起的相关安全事故责任由日常维护单位承担，检测单位应与日常维护单位向采购人负连带责任。</w:t>
      </w:r>
      <w:bookmarkEnd w:id="199"/>
      <w:bookmarkEnd w:id="200"/>
    </w:p>
    <w:p>
      <w:pPr>
        <w:spacing w:line="420" w:lineRule="atLeast"/>
        <w:ind w:firstLine="629" w:firstLineChars="286"/>
        <w:rPr>
          <w:rFonts w:ascii="宋体"/>
          <w:color w:val="auto"/>
          <w:sz w:val="22"/>
          <w:szCs w:val="22"/>
        </w:rPr>
      </w:pPr>
      <w:bookmarkStart w:id="201" w:name="_Toc518050610"/>
      <w:bookmarkStart w:id="202" w:name="_Toc518055790"/>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）中标联合体的检测单位及日常维护单位都应分别在莞设有独立的项目部，严禁检测单位与日常维护单位联合办公。</w:t>
      </w:r>
      <w:bookmarkEnd w:id="201"/>
      <w:bookmarkEnd w:id="202"/>
    </w:p>
    <w:p>
      <w:pPr>
        <w:spacing w:line="420" w:lineRule="atLeast"/>
        <w:ind w:firstLine="629" w:firstLineChars="286"/>
        <w:rPr>
          <w:rFonts w:ascii="宋体"/>
          <w:color w:val="auto"/>
          <w:sz w:val="22"/>
          <w:szCs w:val="22"/>
        </w:rPr>
      </w:pPr>
      <w:bookmarkStart w:id="203" w:name="_Toc518055791"/>
      <w:bookmarkStart w:id="204" w:name="_Toc518050611"/>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）中标联合体的联合体协议经采购人同意后，作为本合同附件。</w:t>
      </w:r>
      <w:bookmarkEnd w:id="203"/>
      <w:bookmarkEnd w:id="204"/>
    </w:p>
    <w:p>
      <w:pPr>
        <w:spacing w:line="420" w:lineRule="atLeast"/>
        <w:ind w:firstLine="629" w:firstLineChars="286"/>
        <w:rPr>
          <w:rFonts w:ascii="宋体"/>
          <w:color w:val="auto"/>
          <w:sz w:val="22"/>
          <w:szCs w:val="22"/>
        </w:rPr>
      </w:pPr>
      <w:bookmarkStart w:id="205" w:name="_Toc518055792"/>
      <w:bookmarkStart w:id="206" w:name="_Toc518050612"/>
      <w:r>
        <w:rPr>
          <w:rFonts w:ascii="宋体" w:hAnsi="宋体"/>
          <w:color w:val="auto"/>
          <w:sz w:val="22"/>
          <w:szCs w:val="22"/>
        </w:rPr>
        <w:t xml:space="preserve">2.5.4 </w:t>
      </w:r>
      <w:r>
        <w:rPr>
          <w:rFonts w:hint="eastAsia" w:ascii="宋体" w:hAnsi="宋体"/>
          <w:color w:val="auto"/>
          <w:sz w:val="22"/>
          <w:szCs w:val="22"/>
        </w:rPr>
        <w:t>合同期内，本合同包含的城市桥梁发生安全事故的，由中标人承担全部赔偿责任，与采购人无关。其他相关要求按招标文件用户需求书及相关技术规范执行。</w:t>
      </w:r>
      <w:bookmarkEnd w:id="205"/>
      <w:bookmarkEnd w:id="206"/>
    </w:p>
    <w:p>
      <w:pPr>
        <w:spacing w:line="420" w:lineRule="atLeast"/>
        <w:ind w:firstLine="629" w:firstLineChars="286"/>
        <w:rPr>
          <w:rFonts w:ascii="宋体"/>
          <w:color w:val="auto"/>
          <w:sz w:val="22"/>
          <w:szCs w:val="22"/>
        </w:rPr>
      </w:pPr>
      <w:bookmarkStart w:id="207" w:name="_Toc518055793"/>
      <w:bookmarkStart w:id="208" w:name="_Toc518050613"/>
      <w:r>
        <w:rPr>
          <w:rFonts w:ascii="宋体" w:hAnsi="宋体"/>
          <w:color w:val="auto"/>
          <w:sz w:val="22"/>
          <w:szCs w:val="22"/>
        </w:rPr>
        <w:t xml:space="preserve">2.5.5  </w:t>
      </w:r>
      <w:r>
        <w:rPr>
          <w:rFonts w:hint="eastAsia" w:ascii="宋体" w:hAnsi="宋体"/>
          <w:color w:val="auto"/>
          <w:sz w:val="22"/>
          <w:szCs w:val="22"/>
        </w:rPr>
        <w:t>项目计价</w:t>
      </w:r>
      <w:bookmarkEnd w:id="207"/>
      <w:bookmarkEnd w:id="208"/>
    </w:p>
    <w:p>
      <w:pPr>
        <w:spacing w:line="420" w:lineRule="atLeast"/>
        <w:ind w:firstLine="629" w:firstLineChars="286"/>
        <w:rPr>
          <w:rFonts w:ascii="宋体"/>
          <w:color w:val="auto"/>
          <w:sz w:val="22"/>
          <w:szCs w:val="22"/>
        </w:rPr>
      </w:pPr>
      <w:bookmarkStart w:id="209" w:name="_Toc518050614"/>
      <w:bookmarkStart w:id="210" w:name="_Toc518055794"/>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）本项目的经常性检查、定期检测项目按照采购人提供的技术资料，按包人工、包工期、包质量、包材料、包安全、包税收等方式进行包干。</w:t>
      </w:r>
      <w:bookmarkEnd w:id="209"/>
      <w:bookmarkEnd w:id="210"/>
    </w:p>
    <w:p>
      <w:pPr>
        <w:spacing w:line="420" w:lineRule="atLeast"/>
        <w:ind w:firstLine="629" w:firstLineChars="286"/>
        <w:rPr>
          <w:rFonts w:ascii="宋体"/>
          <w:color w:val="auto"/>
          <w:sz w:val="22"/>
          <w:szCs w:val="22"/>
        </w:rPr>
      </w:pPr>
      <w:bookmarkStart w:id="211" w:name="_Toc518055795"/>
      <w:bookmarkStart w:id="212" w:name="_Toc518050615"/>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城市桥梁日常维护按实结算项目按实际工作计量结算，并按结算评审时期广东省、东莞及周边城市的计费定额和相关资料进行计取，送东莞市财政投资审核办公室审定。该部分工作采用下浮率进行报价。实际合同价</w:t>
      </w:r>
      <w:r>
        <w:rPr>
          <w:rFonts w:ascii="宋体" w:hAnsi="宋体"/>
          <w:color w:val="auto"/>
          <w:sz w:val="22"/>
          <w:szCs w:val="22"/>
        </w:rPr>
        <w:t>=</w:t>
      </w:r>
      <w:r>
        <w:rPr>
          <w:rFonts w:hint="eastAsia" w:ascii="宋体" w:hAnsi="宋体"/>
          <w:color w:val="auto"/>
          <w:sz w:val="22"/>
          <w:szCs w:val="22"/>
        </w:rPr>
        <w:t>投标人所承接的桥梁日常维护项目，按经松山湖财政投资审核中心或经采购人及采购人委托的造价咨询机构审定的工程总造价（不含安全防护、文明施工单列费用）×（</w:t>
      </w:r>
      <w:r>
        <w:rPr>
          <w:rFonts w:ascii="宋体" w:hAnsi="宋体"/>
          <w:color w:val="auto"/>
          <w:sz w:val="22"/>
          <w:szCs w:val="22"/>
        </w:rPr>
        <w:t>1-</w:t>
      </w:r>
      <w:r>
        <w:rPr>
          <w:rFonts w:hint="eastAsia" w:ascii="宋体" w:hAnsi="宋体"/>
          <w:color w:val="auto"/>
          <w:sz w:val="22"/>
          <w:szCs w:val="22"/>
        </w:rPr>
        <w:t>中标下浮率）</w:t>
      </w:r>
      <w:r>
        <w:rPr>
          <w:rFonts w:ascii="宋体" w:hAnsi="宋体"/>
          <w:color w:val="auto"/>
          <w:sz w:val="22"/>
          <w:szCs w:val="22"/>
        </w:rPr>
        <w:t>+</w:t>
      </w:r>
      <w:r>
        <w:rPr>
          <w:rFonts w:hint="eastAsia" w:ascii="宋体" w:hAnsi="宋体"/>
          <w:color w:val="auto"/>
          <w:sz w:val="22"/>
          <w:szCs w:val="22"/>
        </w:rPr>
        <w:t>安全防护、文明施工单列费用。最终项目结算费用</w:t>
      </w:r>
      <w:r>
        <w:rPr>
          <w:rFonts w:ascii="宋体" w:hAnsi="宋体"/>
          <w:color w:val="auto"/>
          <w:sz w:val="22"/>
          <w:szCs w:val="22"/>
        </w:rPr>
        <w:t>=</w:t>
      </w:r>
      <w:r>
        <w:rPr>
          <w:rFonts w:hint="eastAsia" w:ascii="宋体" w:hAnsi="宋体"/>
          <w:color w:val="auto"/>
          <w:sz w:val="22"/>
          <w:szCs w:val="22"/>
        </w:rPr>
        <w:t>合同价</w:t>
      </w:r>
      <w:r>
        <w:rPr>
          <w:rFonts w:ascii="宋体"/>
          <w:color w:val="auto"/>
          <w:sz w:val="22"/>
          <w:szCs w:val="22"/>
        </w:rPr>
        <w:t>-</w:t>
      </w:r>
      <w:r>
        <w:rPr>
          <w:rFonts w:hint="eastAsia" w:ascii="宋体" w:hAnsi="宋体"/>
          <w:color w:val="auto"/>
          <w:sz w:val="22"/>
          <w:szCs w:val="22"/>
        </w:rPr>
        <w:t>考核评分的费用。</w:t>
      </w:r>
      <w:bookmarkEnd w:id="211"/>
      <w:bookmarkEnd w:id="212"/>
    </w:p>
    <w:p>
      <w:pPr>
        <w:spacing w:line="420" w:lineRule="atLeast"/>
        <w:ind w:firstLine="629" w:firstLineChars="286"/>
        <w:rPr>
          <w:rFonts w:ascii="宋体"/>
          <w:color w:val="auto"/>
          <w:sz w:val="22"/>
          <w:szCs w:val="22"/>
        </w:rPr>
      </w:pPr>
      <w:bookmarkStart w:id="213" w:name="_Toc518055796"/>
      <w:bookmarkStart w:id="214" w:name="_Toc518050616"/>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）投标人应充分考虑工作数量、现场情况、交通、天气、材料单价等因素，根据本投标人的具体情况和市场价格进行报价。</w:t>
      </w:r>
      <w:bookmarkEnd w:id="213"/>
      <w:bookmarkEnd w:id="214"/>
    </w:p>
    <w:p>
      <w:pPr>
        <w:spacing w:line="420" w:lineRule="atLeast"/>
        <w:ind w:firstLine="629" w:firstLineChars="286"/>
        <w:rPr>
          <w:rFonts w:ascii="宋体" w:hAnsi="宋体"/>
          <w:color w:val="auto"/>
          <w:sz w:val="22"/>
          <w:szCs w:val="22"/>
        </w:rPr>
      </w:pPr>
      <w:bookmarkStart w:id="215" w:name="_Toc518050617"/>
      <w:bookmarkStart w:id="216" w:name="_Toc518055797"/>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）本项目所使用的材料、半成品、成品等均由投标人自行采购，投标报价按照市场价格计算。</w:t>
      </w:r>
      <w:bookmarkEnd w:id="215"/>
      <w:bookmarkEnd w:id="216"/>
      <w:r>
        <w:rPr>
          <w:rFonts w:ascii="宋体" w:hAnsi="宋体"/>
          <w:color w:val="auto"/>
          <w:sz w:val="22"/>
          <w:szCs w:val="22"/>
        </w:rPr>
        <w:t xml:space="preserve"> </w:t>
      </w:r>
    </w:p>
    <w:p>
      <w:pPr>
        <w:spacing w:line="420" w:lineRule="atLeast"/>
        <w:ind w:firstLine="629" w:firstLineChars="286"/>
        <w:rPr>
          <w:rFonts w:ascii="宋体"/>
          <w:color w:val="auto"/>
          <w:sz w:val="22"/>
          <w:szCs w:val="22"/>
        </w:rPr>
      </w:pPr>
      <w:bookmarkStart w:id="217" w:name="_Toc518050618"/>
      <w:bookmarkStart w:id="218" w:name="_Toc518055798"/>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）本项目已考虑因项目单价调整而导致试验检测费用的调整。</w:t>
      </w:r>
      <w:bookmarkEnd w:id="217"/>
      <w:bookmarkEnd w:id="218"/>
    </w:p>
    <w:p>
      <w:pPr>
        <w:spacing w:line="420" w:lineRule="atLeast"/>
        <w:ind w:firstLine="629" w:firstLineChars="286"/>
        <w:rPr>
          <w:rFonts w:ascii="宋体"/>
          <w:color w:val="auto"/>
          <w:sz w:val="22"/>
          <w:szCs w:val="22"/>
        </w:rPr>
      </w:pPr>
      <w:bookmarkStart w:id="219" w:name="_Toc518050619"/>
      <w:bookmarkStart w:id="220" w:name="_Toc518055799"/>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投标人应填写工作量清单中标有数量的所有项目工作细目的单价和费用，投标人没有填入单价和合价的细目，在实施时，采购人将不予支付，并认为此细目的费用已包括在项目工作量清单的其他细目的单价和费用中。</w:t>
      </w:r>
      <w:bookmarkEnd w:id="219"/>
      <w:bookmarkEnd w:id="220"/>
    </w:p>
    <w:p>
      <w:pPr>
        <w:spacing w:line="420" w:lineRule="atLeast"/>
        <w:ind w:firstLine="629" w:firstLineChars="286"/>
        <w:rPr>
          <w:rFonts w:ascii="宋体"/>
          <w:color w:val="auto"/>
          <w:sz w:val="22"/>
          <w:szCs w:val="22"/>
        </w:rPr>
      </w:pPr>
      <w:bookmarkStart w:id="221" w:name="_Toc518050620"/>
      <w:bookmarkStart w:id="222" w:name="_Toc518055800"/>
      <w:r>
        <w:rPr>
          <w:rFonts w:hint="eastAsia" w:ascii="宋体" w:hAnsi="宋体"/>
          <w:color w:val="auto"/>
          <w:sz w:val="22"/>
          <w:szCs w:val="22"/>
        </w:rPr>
        <w:t>（</w:t>
      </w:r>
      <w:r>
        <w:rPr>
          <w:rFonts w:ascii="宋体" w:hAnsi="宋体"/>
          <w:color w:val="auto"/>
          <w:sz w:val="22"/>
          <w:szCs w:val="22"/>
        </w:rPr>
        <w:t>7</w:t>
      </w:r>
      <w:r>
        <w:rPr>
          <w:rFonts w:hint="eastAsia" w:ascii="宋体" w:hAnsi="宋体"/>
          <w:color w:val="auto"/>
          <w:sz w:val="22"/>
          <w:szCs w:val="22"/>
        </w:rPr>
        <w:t>）采购人有权在签订合同时对项目方案作适当调整或修改。</w:t>
      </w:r>
      <w:bookmarkEnd w:id="221"/>
      <w:bookmarkEnd w:id="222"/>
    </w:p>
    <w:p>
      <w:pPr>
        <w:spacing w:line="420" w:lineRule="atLeast"/>
        <w:ind w:firstLine="629" w:firstLineChars="286"/>
        <w:rPr>
          <w:rFonts w:ascii="宋体"/>
          <w:color w:val="auto"/>
          <w:sz w:val="22"/>
          <w:szCs w:val="22"/>
        </w:rPr>
      </w:pPr>
      <w:bookmarkStart w:id="223" w:name="_Toc518055801"/>
      <w:bookmarkStart w:id="224" w:name="_Toc518050621"/>
      <w:r>
        <w:rPr>
          <w:rFonts w:hint="eastAsia" w:ascii="宋体" w:hAnsi="宋体"/>
          <w:color w:val="auto"/>
          <w:sz w:val="22"/>
          <w:szCs w:val="22"/>
        </w:rPr>
        <w:t>（</w:t>
      </w:r>
      <w:r>
        <w:rPr>
          <w:rFonts w:ascii="宋体" w:hAnsi="宋体"/>
          <w:color w:val="auto"/>
          <w:sz w:val="22"/>
          <w:szCs w:val="22"/>
        </w:rPr>
        <w:t>8</w:t>
      </w:r>
      <w:r>
        <w:rPr>
          <w:rFonts w:hint="eastAsia" w:ascii="宋体" w:hAnsi="宋体"/>
          <w:color w:val="auto"/>
          <w:sz w:val="22"/>
          <w:szCs w:val="22"/>
        </w:rPr>
        <w:t>）除在招标文件中明确外，投标人不得再以任何方式转包或分包本项目。</w:t>
      </w:r>
      <w:bookmarkEnd w:id="223"/>
      <w:bookmarkEnd w:id="224"/>
    </w:p>
    <w:p>
      <w:pPr>
        <w:spacing w:line="420" w:lineRule="atLeast"/>
        <w:ind w:firstLine="629" w:firstLineChars="286"/>
        <w:rPr>
          <w:rFonts w:ascii="宋体"/>
          <w:color w:val="auto"/>
          <w:sz w:val="22"/>
          <w:szCs w:val="22"/>
        </w:rPr>
      </w:pPr>
      <w:bookmarkStart w:id="225" w:name="_Toc518055802"/>
      <w:bookmarkStart w:id="226" w:name="_Toc518050622"/>
      <w:r>
        <w:rPr>
          <w:rFonts w:ascii="宋体" w:hAnsi="宋体"/>
          <w:color w:val="auto"/>
          <w:sz w:val="22"/>
          <w:szCs w:val="22"/>
        </w:rPr>
        <w:t xml:space="preserve">2.5.6 </w:t>
      </w:r>
      <w:r>
        <w:rPr>
          <w:rFonts w:hint="eastAsia" w:ascii="宋体" w:hAnsi="宋体"/>
          <w:color w:val="auto"/>
          <w:sz w:val="22"/>
          <w:szCs w:val="22"/>
        </w:rPr>
        <w:t>当上级部门、采购人对桥涵进行现场检查或开展各项专项统计时，中标人必须无条件提供人员和设备积极配合相关检查、统计工作（相关费用包含在合同价中，中标人不得要求采购人另行支付）。</w:t>
      </w:r>
      <w:bookmarkEnd w:id="225"/>
      <w:bookmarkEnd w:id="226"/>
    </w:p>
    <w:p>
      <w:pPr>
        <w:spacing w:line="420" w:lineRule="atLeast"/>
        <w:ind w:firstLine="629" w:firstLineChars="286"/>
        <w:rPr>
          <w:rFonts w:ascii="宋体"/>
          <w:color w:val="auto"/>
          <w:sz w:val="22"/>
          <w:szCs w:val="22"/>
        </w:rPr>
      </w:pPr>
      <w:r>
        <w:rPr>
          <w:rFonts w:ascii="宋体" w:hAnsi="宋体"/>
          <w:color w:val="auto"/>
          <w:sz w:val="22"/>
          <w:szCs w:val="22"/>
        </w:rPr>
        <w:t xml:space="preserve">2.5.7 </w:t>
      </w:r>
      <w:r>
        <w:rPr>
          <w:rFonts w:hint="eastAsia" w:ascii="宋体" w:hAnsi="宋体"/>
          <w:color w:val="auto"/>
          <w:sz w:val="22"/>
          <w:szCs w:val="22"/>
        </w:rPr>
        <w:t>应急工作要求</w:t>
      </w:r>
    </w:p>
    <w:p>
      <w:pPr>
        <w:spacing w:line="420" w:lineRule="atLeast"/>
        <w:ind w:firstLine="629" w:firstLineChars="286"/>
        <w:rPr>
          <w:rFonts w:ascii="宋体"/>
          <w:color w:val="auto"/>
          <w:sz w:val="22"/>
          <w:szCs w:val="22"/>
        </w:rPr>
      </w:pPr>
      <w:r>
        <w:rPr>
          <w:rFonts w:hint="eastAsia" w:ascii="宋体" w:hAnsi="宋体"/>
          <w:color w:val="auto"/>
          <w:sz w:val="22"/>
          <w:szCs w:val="22"/>
        </w:rPr>
        <w:t>中标人必须积极配合采购人做好桥梁应急事件处置。发生桥梁紧急事件时，中标人须</w:t>
      </w:r>
      <w:r>
        <w:rPr>
          <w:rFonts w:ascii="宋体" w:hAnsi="宋体"/>
          <w:color w:val="auto"/>
          <w:sz w:val="22"/>
          <w:szCs w:val="22"/>
        </w:rPr>
        <w:t>2</w:t>
      </w:r>
      <w:r>
        <w:rPr>
          <w:rFonts w:hint="eastAsia" w:ascii="宋体" w:hAnsi="宋体"/>
          <w:color w:val="auto"/>
          <w:sz w:val="22"/>
          <w:szCs w:val="22"/>
        </w:rPr>
        <w:t>小时内到达现场对受损桥梁按定期检测的深度进行检查，并加强对桥梁的监测，对桥梁的沉降、位移等进行测量，特殊情况需设专人</w:t>
      </w:r>
      <w:r>
        <w:rPr>
          <w:rFonts w:ascii="宋体" w:hAnsi="宋体"/>
          <w:color w:val="auto"/>
          <w:sz w:val="22"/>
          <w:szCs w:val="22"/>
        </w:rPr>
        <w:t>24</w:t>
      </w:r>
      <w:r>
        <w:rPr>
          <w:rFonts w:hint="eastAsia" w:ascii="宋体" w:hAnsi="宋体"/>
          <w:color w:val="auto"/>
          <w:sz w:val="22"/>
          <w:szCs w:val="22"/>
        </w:rPr>
        <w:t>小时看护（相关费用包含在合同价中，中标人不得要求采购人另行支付）。应急物资储备，中标人应做好应急物资的储备，主要包括警示标志牌（不少于</w:t>
      </w:r>
      <w:r>
        <w:rPr>
          <w:rFonts w:ascii="宋体" w:hAnsi="宋体"/>
          <w:color w:val="auto"/>
          <w:sz w:val="22"/>
          <w:szCs w:val="22"/>
        </w:rPr>
        <w:t>4</w:t>
      </w:r>
      <w:r>
        <w:rPr>
          <w:rFonts w:hint="eastAsia" w:ascii="宋体" w:hAnsi="宋体"/>
          <w:color w:val="auto"/>
          <w:sz w:val="22"/>
          <w:szCs w:val="22"/>
        </w:rPr>
        <w:t>块）、施工围档（不少于</w:t>
      </w:r>
      <w:r>
        <w:rPr>
          <w:rFonts w:ascii="宋体" w:hAnsi="宋体"/>
          <w:color w:val="auto"/>
          <w:sz w:val="22"/>
          <w:szCs w:val="22"/>
        </w:rPr>
        <w:t>200</w:t>
      </w:r>
      <w:r>
        <w:rPr>
          <w:rFonts w:hint="eastAsia" w:ascii="宋体" w:hAnsi="宋体"/>
          <w:color w:val="auto"/>
          <w:sz w:val="22"/>
          <w:szCs w:val="22"/>
        </w:rPr>
        <w:t>米的水马、</w:t>
      </w:r>
      <w:r>
        <w:rPr>
          <w:rFonts w:ascii="宋体" w:hAnsi="宋体"/>
          <w:color w:val="auto"/>
          <w:sz w:val="22"/>
          <w:szCs w:val="22"/>
        </w:rPr>
        <w:t>200</w:t>
      </w:r>
      <w:r>
        <w:rPr>
          <w:rFonts w:hint="eastAsia" w:ascii="宋体" w:hAnsi="宋体"/>
          <w:color w:val="auto"/>
          <w:sz w:val="22"/>
          <w:szCs w:val="22"/>
        </w:rPr>
        <w:t>个雪糕筒）、对讲机、橡皮艇等必须使用的工具。</w:t>
      </w:r>
    </w:p>
    <w:p>
      <w:pPr>
        <w:spacing w:line="420" w:lineRule="atLeast"/>
        <w:ind w:firstLine="632" w:firstLineChars="286"/>
        <w:rPr>
          <w:rFonts w:ascii="宋体"/>
          <w:b/>
          <w:color w:val="auto"/>
          <w:sz w:val="22"/>
          <w:szCs w:val="22"/>
        </w:rPr>
      </w:pPr>
      <w:bookmarkStart w:id="227" w:name="_Toc518050623"/>
      <w:bookmarkStart w:id="228" w:name="_Toc518055803"/>
      <w:r>
        <w:rPr>
          <w:rFonts w:hint="eastAsia" w:ascii="宋体" w:hAnsi="宋体"/>
          <w:b/>
          <w:color w:val="auto"/>
          <w:sz w:val="22"/>
          <w:szCs w:val="22"/>
        </w:rPr>
        <w:t>三、桥梁信息录入及要求</w:t>
      </w:r>
      <w:bookmarkEnd w:id="227"/>
      <w:bookmarkEnd w:id="228"/>
    </w:p>
    <w:p>
      <w:pPr>
        <w:spacing w:line="420" w:lineRule="atLeast"/>
        <w:ind w:firstLine="629" w:firstLineChars="286"/>
        <w:rPr>
          <w:rFonts w:ascii="宋体"/>
          <w:color w:val="auto"/>
          <w:sz w:val="22"/>
          <w:szCs w:val="22"/>
        </w:rPr>
      </w:pPr>
      <w:bookmarkStart w:id="229" w:name="_Toc518050624"/>
      <w:bookmarkStart w:id="230" w:name="_Toc518055804"/>
      <w:r>
        <w:rPr>
          <w:rFonts w:hint="eastAsia" w:ascii="宋体" w:hAnsi="宋体"/>
          <w:color w:val="auto"/>
          <w:sz w:val="22"/>
          <w:szCs w:val="22"/>
        </w:rPr>
        <w:t>投标人将城市桥梁经常性检查和定期检测城的信息、数据，按要求全部录入东莞市城市桥梁信息管理系统。从系统中能够全面掌握桥梁每一次检测的情况及某个阶段的运营状况，并且负责系统的日常维护及数据更新工作，确保系统数据更换的时效性和数据的准确性。</w:t>
      </w:r>
      <w:bookmarkEnd w:id="229"/>
      <w:bookmarkEnd w:id="230"/>
    </w:p>
    <w:p>
      <w:pPr>
        <w:spacing w:line="420" w:lineRule="atLeast"/>
        <w:ind w:firstLine="632" w:firstLineChars="286"/>
        <w:rPr>
          <w:rFonts w:ascii="宋体"/>
          <w:b/>
          <w:color w:val="auto"/>
          <w:sz w:val="22"/>
          <w:szCs w:val="22"/>
        </w:rPr>
      </w:pPr>
      <w:bookmarkStart w:id="231" w:name="_Toc518055805"/>
      <w:bookmarkStart w:id="232" w:name="_Toc518050625"/>
      <w:r>
        <w:rPr>
          <w:rFonts w:hint="eastAsia" w:ascii="宋体" w:hAnsi="宋体"/>
          <w:b/>
          <w:color w:val="auto"/>
          <w:sz w:val="22"/>
          <w:szCs w:val="22"/>
        </w:rPr>
        <w:t>四、质量标准、质量保证及质量控制要求</w:t>
      </w:r>
      <w:bookmarkEnd w:id="231"/>
      <w:bookmarkEnd w:id="232"/>
    </w:p>
    <w:p>
      <w:pPr>
        <w:spacing w:line="420" w:lineRule="atLeast"/>
        <w:ind w:firstLine="632" w:firstLineChars="286"/>
        <w:rPr>
          <w:rFonts w:ascii="宋体"/>
          <w:b/>
          <w:color w:val="auto"/>
          <w:sz w:val="22"/>
          <w:szCs w:val="22"/>
        </w:rPr>
      </w:pPr>
      <w:bookmarkStart w:id="233" w:name="_Toc518055806"/>
      <w:bookmarkStart w:id="234" w:name="_Toc518050626"/>
      <w:r>
        <w:rPr>
          <w:rFonts w:ascii="宋体" w:hAnsi="宋体"/>
          <w:b/>
          <w:color w:val="auto"/>
          <w:sz w:val="22"/>
          <w:szCs w:val="22"/>
        </w:rPr>
        <w:t xml:space="preserve">3.1 </w:t>
      </w:r>
      <w:r>
        <w:rPr>
          <w:rFonts w:hint="eastAsia" w:ascii="宋体" w:hAnsi="宋体"/>
          <w:b/>
          <w:color w:val="auto"/>
          <w:sz w:val="22"/>
          <w:szCs w:val="22"/>
        </w:rPr>
        <w:t>质量标准</w:t>
      </w:r>
      <w:bookmarkEnd w:id="233"/>
      <w:bookmarkEnd w:id="234"/>
    </w:p>
    <w:p>
      <w:pPr>
        <w:spacing w:line="420" w:lineRule="atLeast"/>
        <w:ind w:firstLine="629" w:firstLineChars="286"/>
        <w:rPr>
          <w:rFonts w:ascii="宋体"/>
          <w:color w:val="auto"/>
          <w:sz w:val="22"/>
          <w:szCs w:val="22"/>
        </w:rPr>
      </w:pPr>
      <w:bookmarkStart w:id="235" w:name="_Toc518050627"/>
      <w:bookmarkStart w:id="236" w:name="_Toc518055807"/>
      <w:r>
        <w:rPr>
          <w:rFonts w:ascii="宋体" w:hAnsi="宋体"/>
          <w:color w:val="auto"/>
          <w:sz w:val="22"/>
          <w:szCs w:val="22"/>
        </w:rPr>
        <w:t xml:space="preserve">3.1.1 </w:t>
      </w:r>
      <w:r>
        <w:rPr>
          <w:rFonts w:hint="eastAsia" w:ascii="宋体" w:hAnsi="宋体"/>
          <w:color w:val="auto"/>
          <w:sz w:val="22"/>
          <w:szCs w:val="22"/>
        </w:rPr>
        <w:t>本项目必须严格地遵照《城市桥梁检测和养护维修管理办法》、《中华人民共和国安全生产法》、《城市道路管理条例》、《建设工程质量管理条例》及国家、广东省、东莞市等有关规定进行安全、可靠的检查和日常维护工作。并且符合但不限于下列的法规及规范要求：</w:t>
      </w:r>
      <w:bookmarkEnd w:id="235"/>
      <w:bookmarkEnd w:id="236"/>
    </w:p>
    <w:p>
      <w:pPr>
        <w:spacing w:line="420" w:lineRule="atLeast"/>
        <w:ind w:firstLine="629" w:firstLineChars="286"/>
        <w:rPr>
          <w:rFonts w:ascii="宋体"/>
          <w:color w:val="auto"/>
          <w:sz w:val="22"/>
          <w:szCs w:val="22"/>
        </w:rPr>
      </w:pPr>
      <w:bookmarkStart w:id="237" w:name="_Toc518050628"/>
      <w:bookmarkStart w:id="238" w:name="_Toc518055808"/>
      <w:r>
        <w:rPr>
          <w:rFonts w:hint="eastAsia" w:ascii="宋体" w:hAnsi="宋体"/>
          <w:color w:val="auto"/>
          <w:sz w:val="22"/>
          <w:szCs w:val="22"/>
        </w:rPr>
        <w:t>（</w:t>
      </w:r>
      <w:r>
        <w:rPr>
          <w:rFonts w:ascii="宋体" w:hAnsi="宋体"/>
          <w:color w:val="auto"/>
          <w:sz w:val="22"/>
          <w:szCs w:val="22"/>
        </w:rPr>
        <w:t>1</w:t>
      </w:r>
      <w:r>
        <w:rPr>
          <w:rFonts w:hint="eastAsia" w:ascii="宋体" w:hAnsi="宋体"/>
          <w:color w:val="auto"/>
          <w:sz w:val="22"/>
          <w:szCs w:val="22"/>
        </w:rPr>
        <w:t>）《公路桥涵设计通用规范》（</w:t>
      </w:r>
      <w:r>
        <w:rPr>
          <w:rFonts w:ascii="宋体" w:hAnsi="宋体"/>
          <w:color w:val="auto"/>
          <w:sz w:val="22"/>
          <w:szCs w:val="22"/>
        </w:rPr>
        <w:t>JTG D60-2004</w:t>
      </w:r>
      <w:r>
        <w:rPr>
          <w:rFonts w:hint="eastAsia" w:ascii="宋体" w:hAnsi="宋体"/>
          <w:color w:val="auto"/>
          <w:sz w:val="22"/>
          <w:szCs w:val="22"/>
        </w:rPr>
        <w:t>）</w:t>
      </w:r>
      <w:bookmarkEnd w:id="237"/>
      <w:bookmarkEnd w:id="238"/>
    </w:p>
    <w:p>
      <w:pPr>
        <w:spacing w:line="420" w:lineRule="atLeast"/>
        <w:ind w:firstLine="629" w:firstLineChars="286"/>
        <w:rPr>
          <w:rFonts w:ascii="宋体"/>
          <w:color w:val="auto"/>
          <w:sz w:val="22"/>
          <w:szCs w:val="22"/>
        </w:rPr>
      </w:pPr>
      <w:bookmarkStart w:id="239" w:name="_Toc518055809"/>
      <w:bookmarkStart w:id="240" w:name="_Toc518050629"/>
      <w:r>
        <w:rPr>
          <w:rFonts w:hint="eastAsia" w:ascii="宋体" w:hAnsi="宋体"/>
          <w:color w:val="auto"/>
          <w:sz w:val="22"/>
          <w:szCs w:val="22"/>
        </w:rPr>
        <w:t>（</w:t>
      </w:r>
      <w:r>
        <w:rPr>
          <w:rFonts w:ascii="宋体" w:hAnsi="宋体"/>
          <w:color w:val="auto"/>
          <w:sz w:val="22"/>
          <w:szCs w:val="22"/>
        </w:rPr>
        <w:t>2</w:t>
      </w:r>
      <w:r>
        <w:rPr>
          <w:rFonts w:hint="eastAsia" w:ascii="宋体" w:hAnsi="宋体"/>
          <w:color w:val="auto"/>
          <w:sz w:val="22"/>
          <w:szCs w:val="22"/>
        </w:rPr>
        <w:t>）《大跨径混凝土桥梁的试验方法》（试行）（交通部公路科研所</w:t>
      </w:r>
      <w:r>
        <w:rPr>
          <w:rFonts w:ascii="宋体" w:hAnsi="宋体"/>
          <w:color w:val="auto"/>
          <w:sz w:val="22"/>
          <w:szCs w:val="22"/>
        </w:rPr>
        <w:t xml:space="preserve"> 1982</w:t>
      </w:r>
      <w:r>
        <w:rPr>
          <w:rFonts w:hint="eastAsia" w:ascii="宋体" w:hAnsi="宋体"/>
          <w:color w:val="auto"/>
          <w:sz w:val="22"/>
          <w:szCs w:val="22"/>
        </w:rPr>
        <w:t>年）</w:t>
      </w:r>
      <w:bookmarkEnd w:id="239"/>
      <w:bookmarkEnd w:id="240"/>
    </w:p>
    <w:p>
      <w:pPr>
        <w:spacing w:line="420" w:lineRule="atLeast"/>
        <w:ind w:firstLine="629" w:firstLineChars="286"/>
        <w:rPr>
          <w:rFonts w:ascii="宋体"/>
          <w:color w:val="auto"/>
          <w:sz w:val="22"/>
          <w:szCs w:val="22"/>
        </w:rPr>
      </w:pPr>
      <w:bookmarkStart w:id="241" w:name="_Toc518055810"/>
      <w:bookmarkStart w:id="242" w:name="_Toc518050630"/>
      <w:r>
        <w:rPr>
          <w:rFonts w:hint="eastAsia" w:ascii="宋体" w:hAnsi="宋体"/>
          <w:color w:val="auto"/>
          <w:sz w:val="22"/>
          <w:szCs w:val="22"/>
        </w:rPr>
        <w:t>（</w:t>
      </w:r>
      <w:r>
        <w:rPr>
          <w:rFonts w:ascii="宋体" w:hAnsi="宋体"/>
          <w:color w:val="auto"/>
          <w:sz w:val="22"/>
          <w:szCs w:val="22"/>
        </w:rPr>
        <w:t>3</w:t>
      </w:r>
      <w:r>
        <w:rPr>
          <w:rFonts w:hint="eastAsia" w:ascii="宋体" w:hAnsi="宋体"/>
          <w:color w:val="auto"/>
          <w:sz w:val="22"/>
          <w:szCs w:val="22"/>
        </w:rPr>
        <w:t>）《公路钢筋混凝土及预应力混凝土桥涵设计规范》</w:t>
      </w:r>
      <w:r>
        <w:rPr>
          <w:rFonts w:ascii="宋体" w:hAnsi="宋体"/>
          <w:color w:val="auto"/>
          <w:sz w:val="22"/>
          <w:szCs w:val="22"/>
        </w:rPr>
        <w:t xml:space="preserve"> </w:t>
      </w:r>
      <w:r>
        <w:rPr>
          <w:rFonts w:hint="eastAsia" w:ascii="宋体" w:hAnsi="宋体"/>
          <w:color w:val="auto"/>
          <w:sz w:val="22"/>
          <w:szCs w:val="22"/>
        </w:rPr>
        <w:t>（</w:t>
      </w:r>
      <w:r>
        <w:rPr>
          <w:rFonts w:ascii="宋体" w:hAnsi="宋体"/>
          <w:color w:val="auto"/>
          <w:sz w:val="22"/>
          <w:szCs w:val="22"/>
        </w:rPr>
        <w:t>JTG D62-2004</w:t>
      </w:r>
      <w:r>
        <w:rPr>
          <w:rFonts w:hint="eastAsia" w:ascii="宋体" w:hAnsi="宋体"/>
          <w:color w:val="auto"/>
          <w:sz w:val="22"/>
          <w:szCs w:val="22"/>
        </w:rPr>
        <w:t>）</w:t>
      </w:r>
      <w:bookmarkEnd w:id="241"/>
      <w:bookmarkEnd w:id="242"/>
    </w:p>
    <w:p>
      <w:pPr>
        <w:spacing w:line="420" w:lineRule="atLeast"/>
        <w:ind w:firstLine="629" w:firstLineChars="286"/>
        <w:rPr>
          <w:rFonts w:ascii="宋体"/>
          <w:color w:val="auto"/>
          <w:sz w:val="22"/>
          <w:szCs w:val="22"/>
        </w:rPr>
      </w:pPr>
      <w:bookmarkStart w:id="243" w:name="_Toc518055811"/>
      <w:bookmarkStart w:id="244" w:name="_Toc518050631"/>
      <w:r>
        <w:rPr>
          <w:rFonts w:hint="eastAsia" w:ascii="宋体" w:hAnsi="宋体"/>
          <w:color w:val="auto"/>
          <w:sz w:val="22"/>
          <w:szCs w:val="22"/>
        </w:rPr>
        <w:t>（</w:t>
      </w:r>
      <w:r>
        <w:rPr>
          <w:rFonts w:ascii="宋体" w:hAnsi="宋体"/>
          <w:color w:val="auto"/>
          <w:sz w:val="22"/>
          <w:szCs w:val="22"/>
        </w:rPr>
        <w:t>4</w:t>
      </w:r>
      <w:r>
        <w:rPr>
          <w:rFonts w:hint="eastAsia" w:ascii="宋体" w:hAnsi="宋体"/>
          <w:color w:val="auto"/>
          <w:sz w:val="22"/>
          <w:szCs w:val="22"/>
        </w:rPr>
        <w:t>）《公路旧桥承载能力鉴定方法》（试行）（交通部公路科研所</w:t>
      </w:r>
      <w:r>
        <w:rPr>
          <w:rFonts w:ascii="宋体" w:hAnsi="宋体"/>
          <w:color w:val="auto"/>
          <w:sz w:val="22"/>
          <w:szCs w:val="22"/>
        </w:rPr>
        <w:t xml:space="preserve"> 1988</w:t>
      </w:r>
      <w:r>
        <w:rPr>
          <w:rFonts w:hint="eastAsia" w:ascii="宋体" w:hAnsi="宋体"/>
          <w:color w:val="auto"/>
          <w:sz w:val="22"/>
          <w:szCs w:val="22"/>
        </w:rPr>
        <w:t>年）</w:t>
      </w:r>
      <w:bookmarkEnd w:id="243"/>
      <w:bookmarkEnd w:id="244"/>
    </w:p>
    <w:p>
      <w:pPr>
        <w:spacing w:line="420" w:lineRule="atLeast"/>
        <w:ind w:firstLine="629" w:firstLineChars="286"/>
        <w:rPr>
          <w:rFonts w:ascii="宋体"/>
          <w:color w:val="auto"/>
          <w:sz w:val="22"/>
          <w:szCs w:val="22"/>
        </w:rPr>
      </w:pPr>
      <w:bookmarkStart w:id="245" w:name="_Toc518055812"/>
      <w:bookmarkStart w:id="246" w:name="_Toc518050632"/>
      <w:r>
        <w:rPr>
          <w:rFonts w:hint="eastAsia" w:ascii="宋体" w:hAnsi="宋体"/>
          <w:color w:val="auto"/>
          <w:sz w:val="22"/>
          <w:szCs w:val="22"/>
        </w:rPr>
        <w:t>（</w:t>
      </w:r>
      <w:r>
        <w:rPr>
          <w:rFonts w:ascii="宋体" w:hAnsi="宋体"/>
          <w:color w:val="auto"/>
          <w:sz w:val="22"/>
          <w:szCs w:val="22"/>
        </w:rPr>
        <w:t>5</w:t>
      </w:r>
      <w:r>
        <w:rPr>
          <w:rFonts w:hint="eastAsia" w:ascii="宋体" w:hAnsi="宋体"/>
          <w:color w:val="auto"/>
          <w:sz w:val="22"/>
          <w:szCs w:val="22"/>
        </w:rPr>
        <w:t>）《城市桥梁养护技术标准》（</w:t>
      </w:r>
      <w:r>
        <w:rPr>
          <w:rFonts w:ascii="宋体" w:hAnsi="宋体"/>
          <w:color w:val="auto"/>
          <w:sz w:val="22"/>
          <w:szCs w:val="22"/>
        </w:rPr>
        <w:t>CJJ99-2017</w:t>
      </w:r>
      <w:r>
        <w:rPr>
          <w:rFonts w:hint="eastAsia" w:ascii="宋体" w:hAnsi="宋体"/>
          <w:color w:val="auto"/>
          <w:sz w:val="22"/>
          <w:szCs w:val="22"/>
        </w:rPr>
        <w:t>）</w:t>
      </w:r>
      <w:bookmarkEnd w:id="245"/>
      <w:bookmarkEnd w:id="246"/>
    </w:p>
    <w:p>
      <w:pPr>
        <w:spacing w:line="420" w:lineRule="atLeast"/>
        <w:ind w:firstLine="629" w:firstLineChars="286"/>
        <w:rPr>
          <w:rFonts w:ascii="宋体"/>
          <w:color w:val="auto"/>
          <w:sz w:val="22"/>
          <w:szCs w:val="22"/>
        </w:rPr>
      </w:pPr>
      <w:bookmarkStart w:id="247" w:name="_Toc518055813"/>
      <w:bookmarkStart w:id="248" w:name="_Toc518050633"/>
      <w:r>
        <w:rPr>
          <w:rFonts w:hint="eastAsia" w:ascii="宋体" w:hAnsi="宋体"/>
          <w:color w:val="auto"/>
          <w:sz w:val="22"/>
          <w:szCs w:val="22"/>
        </w:rPr>
        <w:t>（</w:t>
      </w:r>
      <w:r>
        <w:rPr>
          <w:rFonts w:ascii="宋体" w:hAnsi="宋体"/>
          <w:color w:val="auto"/>
          <w:sz w:val="22"/>
          <w:szCs w:val="22"/>
        </w:rPr>
        <w:t>6</w:t>
      </w:r>
      <w:r>
        <w:rPr>
          <w:rFonts w:hint="eastAsia" w:ascii="宋体" w:hAnsi="宋体"/>
          <w:color w:val="auto"/>
          <w:sz w:val="22"/>
          <w:szCs w:val="22"/>
        </w:rPr>
        <w:t>）《广东省城市桥梁检查和检验评定方法》（试行</w:t>
      </w:r>
      <w:r>
        <w:rPr>
          <w:rFonts w:ascii="宋体" w:hAnsi="宋体"/>
          <w:color w:val="auto"/>
          <w:sz w:val="22"/>
          <w:szCs w:val="22"/>
        </w:rPr>
        <w:t xml:space="preserve"> </w:t>
      </w:r>
      <w:r>
        <w:rPr>
          <w:rFonts w:hint="eastAsia" w:ascii="宋体" w:hAnsi="宋体"/>
          <w:color w:val="auto"/>
          <w:sz w:val="22"/>
          <w:szCs w:val="22"/>
        </w:rPr>
        <w:t>粤建建字</w:t>
      </w:r>
      <w:r>
        <w:rPr>
          <w:rFonts w:ascii="宋体" w:hAnsi="宋体"/>
          <w:color w:val="auto"/>
          <w:sz w:val="22"/>
          <w:szCs w:val="22"/>
        </w:rPr>
        <w:t>[1999]105</w:t>
      </w:r>
      <w:r>
        <w:rPr>
          <w:rFonts w:hint="eastAsia" w:ascii="宋体" w:hAnsi="宋体"/>
          <w:color w:val="auto"/>
          <w:sz w:val="22"/>
          <w:szCs w:val="22"/>
        </w:rPr>
        <w:t>号）</w:t>
      </w:r>
      <w:bookmarkEnd w:id="247"/>
      <w:bookmarkEnd w:id="248"/>
    </w:p>
    <w:p>
      <w:pPr>
        <w:spacing w:line="420" w:lineRule="atLeast"/>
        <w:ind w:firstLine="629" w:firstLineChars="286"/>
        <w:rPr>
          <w:rFonts w:ascii="宋体"/>
          <w:color w:val="auto"/>
          <w:sz w:val="22"/>
          <w:szCs w:val="22"/>
        </w:rPr>
      </w:pPr>
      <w:bookmarkStart w:id="249" w:name="_Toc518050634"/>
      <w:bookmarkStart w:id="250" w:name="_Toc518055814"/>
      <w:r>
        <w:rPr>
          <w:rFonts w:hint="eastAsia" w:ascii="宋体" w:hAnsi="宋体"/>
          <w:color w:val="auto"/>
          <w:sz w:val="22"/>
          <w:szCs w:val="22"/>
        </w:rPr>
        <w:t>（</w:t>
      </w:r>
      <w:r>
        <w:rPr>
          <w:rFonts w:ascii="宋体" w:hAnsi="宋体"/>
          <w:color w:val="auto"/>
          <w:sz w:val="22"/>
          <w:szCs w:val="22"/>
        </w:rPr>
        <w:t>7</w:t>
      </w:r>
      <w:r>
        <w:rPr>
          <w:rFonts w:hint="eastAsia" w:ascii="宋体" w:hAnsi="宋体"/>
          <w:color w:val="auto"/>
          <w:sz w:val="22"/>
          <w:szCs w:val="22"/>
        </w:rPr>
        <w:t>）《市政桥梁工程质量检验评定标准》（</w:t>
      </w:r>
      <w:r>
        <w:rPr>
          <w:rFonts w:ascii="宋体" w:hAnsi="宋体"/>
          <w:color w:val="auto"/>
          <w:sz w:val="22"/>
          <w:szCs w:val="22"/>
        </w:rPr>
        <w:t>CJJ2-90</w:t>
      </w:r>
      <w:r>
        <w:rPr>
          <w:rFonts w:hint="eastAsia" w:ascii="宋体" w:hAnsi="宋体"/>
          <w:color w:val="auto"/>
          <w:sz w:val="22"/>
          <w:szCs w:val="22"/>
        </w:rPr>
        <w:t>）</w:t>
      </w:r>
      <w:bookmarkEnd w:id="249"/>
      <w:bookmarkEnd w:id="250"/>
    </w:p>
    <w:p>
      <w:pPr>
        <w:spacing w:line="420" w:lineRule="atLeast"/>
        <w:ind w:firstLine="632" w:firstLineChars="286"/>
        <w:rPr>
          <w:rFonts w:ascii="宋体"/>
          <w:b/>
          <w:color w:val="auto"/>
          <w:sz w:val="22"/>
          <w:szCs w:val="22"/>
        </w:rPr>
      </w:pPr>
      <w:bookmarkStart w:id="251" w:name="_Toc518050635"/>
      <w:bookmarkStart w:id="252" w:name="_Toc518055815"/>
      <w:r>
        <w:rPr>
          <w:rFonts w:ascii="宋体" w:hAnsi="宋体"/>
          <w:b/>
          <w:color w:val="auto"/>
          <w:sz w:val="22"/>
          <w:szCs w:val="22"/>
        </w:rPr>
        <w:t xml:space="preserve">3.2 </w:t>
      </w:r>
      <w:r>
        <w:rPr>
          <w:rFonts w:hint="eastAsia" w:ascii="宋体" w:hAnsi="宋体"/>
          <w:b/>
          <w:color w:val="auto"/>
          <w:sz w:val="22"/>
          <w:szCs w:val="22"/>
        </w:rPr>
        <w:t>技术要求</w:t>
      </w:r>
      <w:bookmarkEnd w:id="251"/>
      <w:bookmarkEnd w:id="252"/>
    </w:p>
    <w:p>
      <w:pPr>
        <w:spacing w:line="420" w:lineRule="atLeast"/>
        <w:ind w:firstLine="629" w:firstLineChars="286"/>
        <w:rPr>
          <w:rFonts w:ascii="宋体"/>
          <w:color w:val="auto"/>
          <w:sz w:val="22"/>
          <w:szCs w:val="22"/>
        </w:rPr>
      </w:pPr>
      <w:bookmarkStart w:id="253" w:name="_Toc518050636"/>
      <w:bookmarkStart w:id="254" w:name="_Toc518055816"/>
      <w:r>
        <w:rPr>
          <w:rFonts w:ascii="宋体" w:hAnsi="宋体"/>
          <w:color w:val="auto"/>
          <w:sz w:val="22"/>
          <w:szCs w:val="22"/>
        </w:rPr>
        <w:t xml:space="preserve">3.2.1 </w:t>
      </w:r>
      <w:r>
        <w:rPr>
          <w:rFonts w:hint="eastAsia" w:ascii="宋体" w:hAnsi="宋体"/>
          <w:color w:val="auto"/>
          <w:sz w:val="22"/>
          <w:szCs w:val="22"/>
        </w:rPr>
        <w:t>中标人必须具有科学的质量管理体系，在投标时提交描述各阶段的质量保证标准及措施的资料。</w:t>
      </w:r>
      <w:bookmarkEnd w:id="253"/>
      <w:bookmarkEnd w:id="254"/>
    </w:p>
    <w:p>
      <w:pPr>
        <w:spacing w:line="420" w:lineRule="atLeast"/>
        <w:ind w:firstLine="632" w:firstLineChars="286"/>
        <w:rPr>
          <w:rFonts w:ascii="宋体"/>
          <w:color w:val="auto"/>
          <w:sz w:val="22"/>
          <w:szCs w:val="22"/>
        </w:rPr>
      </w:pPr>
      <w:bookmarkStart w:id="255" w:name="_Toc518050637"/>
      <w:bookmarkStart w:id="256" w:name="_Toc518055817"/>
      <w:r>
        <w:rPr>
          <w:rFonts w:hint="eastAsia" w:ascii="宋体" w:hAnsi="宋体"/>
          <w:b/>
          <w:color w:val="auto"/>
          <w:sz w:val="22"/>
          <w:szCs w:val="22"/>
        </w:rPr>
        <w:t>★</w:t>
      </w:r>
      <w:r>
        <w:rPr>
          <w:rFonts w:ascii="宋体" w:hAnsi="宋体"/>
          <w:color w:val="auto"/>
          <w:sz w:val="22"/>
          <w:szCs w:val="22"/>
        </w:rPr>
        <w:t xml:space="preserve">3.2.2 </w:t>
      </w:r>
      <w:r>
        <w:rPr>
          <w:rFonts w:hint="eastAsia" w:ascii="宋体" w:hAnsi="宋体"/>
          <w:color w:val="auto"/>
          <w:sz w:val="22"/>
          <w:szCs w:val="22"/>
        </w:rPr>
        <w:t>中标人必须对本项目投入足够的经常性检查人员（不少于</w:t>
      </w:r>
      <w:r>
        <w:rPr>
          <w:rFonts w:ascii="宋体" w:hAnsi="宋体"/>
          <w:color w:val="auto"/>
          <w:sz w:val="22"/>
          <w:szCs w:val="22"/>
        </w:rPr>
        <w:t>3</w:t>
      </w:r>
      <w:r>
        <w:rPr>
          <w:rFonts w:hint="eastAsia" w:ascii="宋体" w:hAnsi="宋体"/>
          <w:color w:val="auto"/>
          <w:sz w:val="22"/>
          <w:szCs w:val="22"/>
        </w:rPr>
        <w:t>人），要求检查人员有责任心，并桥梁检查工作有充分了解。</w:t>
      </w:r>
      <w:bookmarkEnd w:id="255"/>
      <w:bookmarkEnd w:id="256"/>
    </w:p>
    <w:p>
      <w:pPr>
        <w:spacing w:line="420" w:lineRule="atLeast"/>
        <w:ind w:firstLine="632" w:firstLineChars="286"/>
        <w:rPr>
          <w:rFonts w:ascii="宋体"/>
          <w:color w:val="auto"/>
          <w:sz w:val="22"/>
          <w:szCs w:val="22"/>
        </w:rPr>
      </w:pPr>
      <w:bookmarkStart w:id="257" w:name="_Toc518055818"/>
      <w:bookmarkStart w:id="258" w:name="_Toc518050638"/>
      <w:r>
        <w:rPr>
          <w:rFonts w:hint="eastAsia" w:ascii="宋体" w:hAnsi="宋体"/>
          <w:b/>
          <w:color w:val="auto"/>
          <w:sz w:val="22"/>
          <w:szCs w:val="22"/>
        </w:rPr>
        <w:t>★</w:t>
      </w:r>
      <w:r>
        <w:rPr>
          <w:rFonts w:ascii="宋体" w:hAnsi="宋体"/>
          <w:color w:val="auto"/>
          <w:sz w:val="22"/>
          <w:szCs w:val="22"/>
        </w:rPr>
        <w:t xml:space="preserve">3.2.3 </w:t>
      </w:r>
      <w:r>
        <w:rPr>
          <w:rFonts w:hint="eastAsia" w:ascii="宋体" w:hAnsi="宋体"/>
          <w:color w:val="auto"/>
          <w:sz w:val="22"/>
          <w:szCs w:val="22"/>
        </w:rPr>
        <w:t>中标人必须对本项目投入足够的试验检测人员（不少于</w:t>
      </w:r>
      <w:r>
        <w:rPr>
          <w:rFonts w:ascii="宋体" w:hAnsi="宋体"/>
          <w:color w:val="auto"/>
          <w:sz w:val="22"/>
          <w:szCs w:val="22"/>
        </w:rPr>
        <w:t>7</w:t>
      </w:r>
      <w:r>
        <w:rPr>
          <w:rFonts w:hint="eastAsia" w:ascii="宋体" w:hAnsi="宋体"/>
          <w:color w:val="auto"/>
          <w:sz w:val="22"/>
          <w:szCs w:val="22"/>
        </w:rPr>
        <w:t>人），这些试验检测人员必须经过必要的与其承担任务相适应的教育、培训、并有相应的技术知识和经验。</w:t>
      </w:r>
      <w:bookmarkEnd w:id="257"/>
      <w:bookmarkEnd w:id="258"/>
    </w:p>
    <w:p>
      <w:pPr>
        <w:spacing w:line="420" w:lineRule="atLeast"/>
        <w:ind w:firstLine="632" w:firstLineChars="286"/>
        <w:rPr>
          <w:rFonts w:ascii="宋体"/>
          <w:color w:val="auto"/>
          <w:sz w:val="22"/>
          <w:szCs w:val="22"/>
        </w:rPr>
      </w:pPr>
      <w:r>
        <w:rPr>
          <w:rFonts w:hint="eastAsia" w:ascii="宋体" w:hAnsi="宋体"/>
          <w:b/>
          <w:color w:val="auto"/>
          <w:sz w:val="22"/>
          <w:szCs w:val="22"/>
        </w:rPr>
        <w:t>★</w:t>
      </w:r>
      <w:r>
        <w:rPr>
          <w:rFonts w:ascii="宋体" w:hAnsi="宋体"/>
          <w:color w:val="auto"/>
          <w:sz w:val="22"/>
          <w:szCs w:val="22"/>
        </w:rPr>
        <w:t xml:space="preserve">3.2.4 </w:t>
      </w:r>
      <w:r>
        <w:rPr>
          <w:rFonts w:hint="eastAsia" w:ascii="宋体" w:hAnsi="宋体"/>
          <w:color w:val="auto"/>
          <w:sz w:val="22"/>
          <w:szCs w:val="22"/>
        </w:rPr>
        <w:t>中标人应配备足够的工作车辆，其中：桥梁检测车辆不少于一台，巡查车辆不少于两台，日常维护</w:t>
      </w:r>
      <w:r>
        <w:rPr>
          <w:rFonts w:hint="eastAsia" w:hAnsi="宋体"/>
          <w:color w:val="auto"/>
          <w:sz w:val="22"/>
          <w:szCs w:val="22"/>
        </w:rPr>
        <w:t>车辆</w:t>
      </w:r>
      <w:r>
        <w:rPr>
          <w:rFonts w:hint="eastAsia" w:ascii="宋体" w:hAnsi="宋体"/>
          <w:color w:val="auto"/>
          <w:sz w:val="22"/>
          <w:szCs w:val="22"/>
        </w:rPr>
        <w:t>不少于一台。</w:t>
      </w:r>
    </w:p>
    <w:p>
      <w:pPr>
        <w:spacing w:line="420" w:lineRule="atLeast"/>
        <w:ind w:firstLine="629" w:firstLineChars="286"/>
        <w:rPr>
          <w:rFonts w:ascii="宋体"/>
          <w:color w:val="auto"/>
          <w:sz w:val="22"/>
          <w:szCs w:val="22"/>
        </w:rPr>
      </w:pPr>
      <w:bookmarkStart w:id="259" w:name="_Toc518055819"/>
      <w:bookmarkStart w:id="260" w:name="_Toc518050639"/>
      <w:r>
        <w:rPr>
          <w:rFonts w:ascii="宋体" w:hAnsi="宋体"/>
          <w:color w:val="auto"/>
          <w:sz w:val="22"/>
          <w:szCs w:val="22"/>
        </w:rPr>
        <w:t xml:space="preserve">3.2.5 </w:t>
      </w:r>
      <w:r>
        <w:rPr>
          <w:rFonts w:hint="eastAsia" w:ascii="宋体" w:hAnsi="宋体"/>
          <w:color w:val="auto"/>
          <w:sz w:val="22"/>
          <w:szCs w:val="22"/>
        </w:rPr>
        <w:t>中标人应配备足够的试验检测仪器设备。试验检测仪器设备必须在检定</w:t>
      </w:r>
      <w:r>
        <w:rPr>
          <w:rFonts w:ascii="宋体" w:hAnsi="宋体"/>
          <w:color w:val="auto"/>
          <w:sz w:val="22"/>
          <w:szCs w:val="22"/>
        </w:rPr>
        <w:t>/</w:t>
      </w:r>
      <w:r>
        <w:rPr>
          <w:rFonts w:hint="eastAsia" w:ascii="宋体" w:hAnsi="宋体"/>
          <w:color w:val="auto"/>
          <w:sz w:val="22"/>
          <w:szCs w:val="22"/>
        </w:rPr>
        <w:t>校准有效期内</w:t>
      </w:r>
      <w:r>
        <w:rPr>
          <w:rFonts w:hint="eastAsia" w:ascii="宋体"/>
          <w:color w:val="auto"/>
          <w:sz w:val="22"/>
          <w:szCs w:val="22"/>
        </w:rPr>
        <w:t>，</w:t>
      </w:r>
      <w:r>
        <w:rPr>
          <w:rFonts w:hint="eastAsia" w:ascii="宋体" w:hAnsi="宋体"/>
          <w:color w:val="auto"/>
          <w:sz w:val="22"/>
          <w:szCs w:val="22"/>
        </w:rPr>
        <w:t>并在检定</w:t>
      </w:r>
      <w:r>
        <w:rPr>
          <w:rFonts w:ascii="宋体" w:hAnsi="宋体"/>
          <w:color w:val="auto"/>
          <w:sz w:val="22"/>
          <w:szCs w:val="22"/>
        </w:rPr>
        <w:t>/</w:t>
      </w:r>
      <w:r>
        <w:rPr>
          <w:rFonts w:hint="eastAsia" w:ascii="宋体" w:hAnsi="宋体"/>
          <w:color w:val="auto"/>
          <w:sz w:val="22"/>
          <w:szCs w:val="22"/>
        </w:rPr>
        <w:t>校准有效期满后应进行检定</w:t>
      </w:r>
      <w:r>
        <w:rPr>
          <w:rFonts w:ascii="宋体" w:hAnsi="宋体"/>
          <w:color w:val="auto"/>
          <w:sz w:val="22"/>
          <w:szCs w:val="22"/>
        </w:rPr>
        <w:t>/</w:t>
      </w:r>
      <w:r>
        <w:rPr>
          <w:rFonts w:hint="eastAsia" w:ascii="宋体" w:hAnsi="宋体"/>
          <w:color w:val="auto"/>
          <w:sz w:val="22"/>
          <w:szCs w:val="22"/>
        </w:rPr>
        <w:t>校准。各计量试验检测仪器设备都必须严格按要求有明显的标志。</w:t>
      </w:r>
      <w:bookmarkEnd w:id="259"/>
      <w:bookmarkEnd w:id="260"/>
    </w:p>
    <w:p>
      <w:pPr>
        <w:spacing w:line="420" w:lineRule="atLeast"/>
        <w:ind w:firstLine="629" w:firstLineChars="286"/>
        <w:rPr>
          <w:rFonts w:ascii="宋体"/>
          <w:color w:val="auto"/>
          <w:sz w:val="22"/>
          <w:szCs w:val="22"/>
        </w:rPr>
      </w:pPr>
      <w:bookmarkStart w:id="261" w:name="_Toc518050640"/>
      <w:bookmarkStart w:id="262" w:name="_Toc518055820"/>
      <w:r>
        <w:rPr>
          <w:rFonts w:ascii="宋体" w:hAnsi="宋体"/>
          <w:color w:val="auto"/>
          <w:sz w:val="22"/>
          <w:szCs w:val="22"/>
        </w:rPr>
        <w:t xml:space="preserve">3.2.6 </w:t>
      </w:r>
      <w:r>
        <w:rPr>
          <w:rFonts w:hint="eastAsia" w:ascii="宋体" w:hAnsi="宋体"/>
          <w:color w:val="auto"/>
          <w:sz w:val="22"/>
          <w:szCs w:val="22"/>
        </w:rPr>
        <w:t>中标人必须为配合施工和安全与质量监督编写各项实施的试验检测项目的《试验检测工作手册》。</w:t>
      </w:r>
      <w:bookmarkEnd w:id="261"/>
      <w:bookmarkEnd w:id="262"/>
    </w:p>
    <w:p>
      <w:pPr>
        <w:spacing w:line="420" w:lineRule="atLeast"/>
        <w:ind w:firstLine="629" w:firstLineChars="286"/>
        <w:rPr>
          <w:rFonts w:ascii="宋体"/>
          <w:color w:val="auto"/>
          <w:sz w:val="22"/>
          <w:szCs w:val="22"/>
        </w:rPr>
      </w:pPr>
      <w:bookmarkStart w:id="263" w:name="_Toc518050641"/>
      <w:bookmarkStart w:id="264" w:name="_Toc518055821"/>
      <w:r>
        <w:rPr>
          <w:rFonts w:ascii="宋体" w:hAnsi="宋体"/>
          <w:color w:val="auto"/>
          <w:sz w:val="22"/>
          <w:szCs w:val="22"/>
        </w:rPr>
        <w:t xml:space="preserve">3.2.7 </w:t>
      </w:r>
      <w:r>
        <w:rPr>
          <w:rFonts w:hint="eastAsia" w:ascii="宋体" w:hAnsi="宋体"/>
          <w:color w:val="auto"/>
          <w:sz w:val="22"/>
          <w:szCs w:val="22"/>
        </w:rPr>
        <w:t>试验检测报告必须严格进行内部三级审核制度：</w:t>
      </w:r>
      <w:bookmarkEnd w:id="263"/>
      <w:bookmarkEnd w:id="264"/>
    </w:p>
    <w:p>
      <w:pPr>
        <w:spacing w:line="420" w:lineRule="atLeast"/>
        <w:ind w:firstLine="629" w:firstLineChars="286"/>
        <w:rPr>
          <w:rFonts w:ascii="宋体"/>
          <w:color w:val="auto"/>
          <w:sz w:val="22"/>
          <w:szCs w:val="22"/>
        </w:rPr>
      </w:pPr>
      <w:bookmarkStart w:id="265" w:name="_Toc518055822"/>
      <w:bookmarkStart w:id="266" w:name="_Toc518050642"/>
      <w:r>
        <w:rPr>
          <w:rFonts w:ascii="宋体" w:hAnsi="宋体"/>
          <w:color w:val="auto"/>
          <w:sz w:val="22"/>
          <w:szCs w:val="22"/>
        </w:rPr>
        <w:t xml:space="preserve">3.2.8 </w:t>
      </w:r>
      <w:r>
        <w:rPr>
          <w:rFonts w:hint="eastAsia" w:ascii="宋体" w:hAnsi="宋体"/>
          <w:color w:val="auto"/>
          <w:sz w:val="22"/>
          <w:szCs w:val="22"/>
        </w:rPr>
        <w:t>试验检测工作人员要熟悉并严格按照试验检测规程和方法，试验检测工作，同时做好数据记录；</w:t>
      </w:r>
      <w:bookmarkEnd w:id="265"/>
      <w:bookmarkEnd w:id="266"/>
    </w:p>
    <w:p>
      <w:pPr>
        <w:spacing w:line="420" w:lineRule="atLeast"/>
        <w:ind w:firstLine="629" w:firstLineChars="286"/>
        <w:rPr>
          <w:rFonts w:ascii="宋体"/>
          <w:color w:val="auto"/>
          <w:sz w:val="22"/>
          <w:szCs w:val="22"/>
        </w:rPr>
      </w:pPr>
      <w:bookmarkStart w:id="267" w:name="_Toc518055823"/>
      <w:bookmarkStart w:id="268" w:name="_Toc518050643"/>
      <w:r>
        <w:rPr>
          <w:rFonts w:ascii="宋体" w:hAnsi="宋体"/>
          <w:color w:val="auto"/>
          <w:sz w:val="22"/>
          <w:szCs w:val="22"/>
        </w:rPr>
        <w:t xml:space="preserve">3.2.9 </w:t>
      </w:r>
      <w:r>
        <w:rPr>
          <w:rFonts w:hint="eastAsia" w:ascii="宋体" w:hAnsi="宋体"/>
          <w:color w:val="auto"/>
          <w:sz w:val="22"/>
          <w:szCs w:val="22"/>
        </w:rPr>
        <w:t>各试验检测工作校核者应掌握试验检测规程和技术，检查数据与原始记录符合，事实符合，严格按照规范进行；</w:t>
      </w:r>
      <w:bookmarkEnd w:id="267"/>
      <w:bookmarkEnd w:id="268"/>
    </w:p>
    <w:p>
      <w:pPr>
        <w:spacing w:line="420" w:lineRule="atLeast"/>
        <w:ind w:firstLine="629" w:firstLineChars="286"/>
        <w:rPr>
          <w:rFonts w:ascii="宋体"/>
          <w:color w:val="auto"/>
          <w:sz w:val="22"/>
          <w:szCs w:val="22"/>
        </w:rPr>
      </w:pPr>
      <w:bookmarkStart w:id="269" w:name="_Toc518055824"/>
      <w:bookmarkStart w:id="270" w:name="_Toc518050644"/>
      <w:r>
        <w:rPr>
          <w:rFonts w:ascii="宋体" w:hAnsi="宋体"/>
          <w:color w:val="auto"/>
          <w:sz w:val="22"/>
          <w:szCs w:val="22"/>
        </w:rPr>
        <w:t xml:space="preserve">3.2.10 </w:t>
      </w:r>
      <w:r>
        <w:rPr>
          <w:rFonts w:hint="eastAsia" w:ascii="宋体" w:hAnsi="宋体"/>
          <w:color w:val="auto"/>
          <w:sz w:val="22"/>
          <w:szCs w:val="22"/>
        </w:rPr>
        <w:t>报告审核者保证程序合法，报告有效。</w:t>
      </w:r>
      <w:bookmarkEnd w:id="269"/>
      <w:bookmarkEnd w:id="270"/>
    </w:p>
    <w:p>
      <w:pPr>
        <w:spacing w:line="420" w:lineRule="atLeast"/>
        <w:ind w:firstLine="629" w:firstLineChars="286"/>
        <w:rPr>
          <w:rFonts w:ascii="宋体"/>
          <w:color w:val="auto"/>
          <w:sz w:val="22"/>
          <w:szCs w:val="22"/>
        </w:rPr>
      </w:pPr>
      <w:bookmarkStart w:id="271" w:name="_Toc518050645"/>
      <w:bookmarkStart w:id="272" w:name="_Toc518055825"/>
      <w:r>
        <w:rPr>
          <w:rFonts w:ascii="宋体" w:hAnsi="宋体"/>
          <w:color w:val="auto"/>
          <w:sz w:val="22"/>
          <w:szCs w:val="22"/>
        </w:rPr>
        <w:t xml:space="preserve">3.2.11 </w:t>
      </w:r>
      <w:r>
        <w:rPr>
          <w:rFonts w:hint="eastAsia" w:ascii="宋体" w:hAnsi="宋体"/>
          <w:color w:val="auto"/>
          <w:sz w:val="22"/>
          <w:szCs w:val="22"/>
        </w:rPr>
        <w:t>本项目试验检测的质量不符合要求或质量不合格者，采购人有权要求中标人停工和返工，返工费用由中标人承担，工期不予顺延。</w:t>
      </w:r>
      <w:bookmarkEnd w:id="271"/>
      <w:bookmarkEnd w:id="272"/>
    </w:p>
    <w:p>
      <w:pPr>
        <w:spacing w:line="420" w:lineRule="atLeast"/>
        <w:ind w:firstLine="632" w:firstLineChars="286"/>
        <w:rPr>
          <w:rFonts w:ascii="宋体"/>
          <w:b/>
          <w:color w:val="auto"/>
          <w:sz w:val="22"/>
          <w:szCs w:val="22"/>
        </w:rPr>
      </w:pPr>
      <w:bookmarkStart w:id="273" w:name="_Toc518055826"/>
      <w:bookmarkStart w:id="274" w:name="_Toc518050646"/>
      <w:r>
        <w:rPr>
          <w:rFonts w:hint="eastAsia" w:ascii="宋体" w:hAnsi="宋体"/>
          <w:b/>
          <w:color w:val="auto"/>
          <w:sz w:val="22"/>
          <w:szCs w:val="22"/>
        </w:rPr>
        <w:t>五、验收</w:t>
      </w:r>
      <w:bookmarkEnd w:id="273"/>
      <w:bookmarkEnd w:id="274"/>
    </w:p>
    <w:p>
      <w:pPr>
        <w:spacing w:line="420" w:lineRule="atLeast"/>
        <w:ind w:firstLine="629" w:firstLineChars="286"/>
        <w:rPr>
          <w:rFonts w:ascii="宋体"/>
          <w:color w:val="auto"/>
          <w:sz w:val="22"/>
          <w:szCs w:val="22"/>
        </w:rPr>
      </w:pPr>
      <w:bookmarkStart w:id="275" w:name="_Toc518055827"/>
      <w:bookmarkStart w:id="276" w:name="_Toc518050647"/>
      <w:r>
        <w:rPr>
          <w:rFonts w:ascii="宋体" w:hAnsi="宋体"/>
          <w:color w:val="auto"/>
          <w:sz w:val="22"/>
          <w:szCs w:val="22"/>
        </w:rPr>
        <w:t xml:space="preserve">4.1 </w:t>
      </w:r>
      <w:r>
        <w:rPr>
          <w:rFonts w:hint="eastAsia" w:ascii="宋体" w:hAnsi="宋体"/>
          <w:color w:val="auto"/>
          <w:sz w:val="22"/>
          <w:szCs w:val="22"/>
        </w:rPr>
        <w:t>中标人应按照《城市桥梁养护技术规范》等国家规范要求进行检查、检测和维护，随时接受采购人的检查，为检查提供便利条件。如与规范要求不相符处，须按采购人要求返工修改，并承担因自身原因导致返工、修改的费用。</w:t>
      </w:r>
      <w:bookmarkEnd w:id="275"/>
      <w:bookmarkEnd w:id="276"/>
    </w:p>
    <w:p>
      <w:pPr>
        <w:spacing w:line="420" w:lineRule="atLeast"/>
        <w:ind w:firstLine="629" w:firstLineChars="286"/>
        <w:rPr>
          <w:rFonts w:ascii="宋体"/>
          <w:color w:val="auto"/>
          <w:sz w:val="22"/>
          <w:szCs w:val="22"/>
        </w:rPr>
      </w:pPr>
      <w:bookmarkStart w:id="277" w:name="_Toc518050648"/>
      <w:bookmarkStart w:id="278" w:name="_Toc518055828"/>
      <w:r>
        <w:rPr>
          <w:rFonts w:ascii="宋体" w:hAnsi="宋体"/>
          <w:color w:val="auto"/>
          <w:sz w:val="22"/>
          <w:szCs w:val="22"/>
        </w:rPr>
        <w:t xml:space="preserve">4.2 </w:t>
      </w:r>
      <w:r>
        <w:rPr>
          <w:rFonts w:hint="eastAsia" w:ascii="宋体" w:hAnsi="宋体"/>
          <w:color w:val="auto"/>
          <w:sz w:val="22"/>
          <w:szCs w:val="22"/>
        </w:rPr>
        <w:t>对于隐蔽项目，待项目具备覆盖、掩盖条件，并经自检合格后</w:t>
      </w:r>
      <w:r>
        <w:rPr>
          <w:rFonts w:ascii="宋体" w:hAnsi="宋体"/>
          <w:color w:val="auto"/>
          <w:sz w:val="22"/>
          <w:szCs w:val="22"/>
        </w:rPr>
        <w:t>24</w:t>
      </w:r>
      <w:r>
        <w:rPr>
          <w:rFonts w:hint="eastAsia" w:ascii="宋体" w:hAnsi="宋体"/>
          <w:color w:val="auto"/>
          <w:sz w:val="22"/>
          <w:szCs w:val="22"/>
        </w:rPr>
        <w:t>小时内书面通知采购人参与验收，采购人接到通知后</w:t>
      </w:r>
      <w:r>
        <w:rPr>
          <w:rFonts w:ascii="宋体" w:hAnsi="宋体"/>
          <w:color w:val="auto"/>
          <w:sz w:val="22"/>
          <w:szCs w:val="22"/>
        </w:rPr>
        <w:t>48</w:t>
      </w:r>
      <w:r>
        <w:rPr>
          <w:rFonts w:hint="eastAsia" w:ascii="宋体" w:hAnsi="宋体"/>
          <w:color w:val="auto"/>
          <w:sz w:val="22"/>
          <w:szCs w:val="22"/>
        </w:rPr>
        <w:t>小时内组织验收；验收合格后，采购人在验收记录上签字方可进行隐蔽和继续进行下步工作；验收不合格，中标人在限定时间内返工后重新验收。如采购人在验收合格后</w:t>
      </w:r>
      <w:r>
        <w:rPr>
          <w:rFonts w:ascii="宋体" w:hAnsi="宋体"/>
          <w:color w:val="auto"/>
          <w:sz w:val="22"/>
          <w:szCs w:val="22"/>
        </w:rPr>
        <w:t>48</w:t>
      </w:r>
      <w:r>
        <w:rPr>
          <w:rFonts w:hint="eastAsia" w:ascii="宋体" w:hAnsi="宋体"/>
          <w:color w:val="auto"/>
          <w:sz w:val="22"/>
          <w:szCs w:val="22"/>
        </w:rPr>
        <w:t>小时内不在验收记录上签字，可视为采购人已批准，中标人可继续施工。</w:t>
      </w:r>
      <w:bookmarkEnd w:id="277"/>
      <w:bookmarkEnd w:id="278"/>
    </w:p>
    <w:p>
      <w:pPr>
        <w:spacing w:line="420" w:lineRule="atLeast"/>
        <w:ind w:firstLine="629" w:firstLineChars="286"/>
        <w:rPr>
          <w:rFonts w:ascii="宋体"/>
          <w:color w:val="auto"/>
          <w:sz w:val="22"/>
          <w:szCs w:val="22"/>
        </w:rPr>
      </w:pPr>
      <w:bookmarkStart w:id="279" w:name="_Toc518050649"/>
      <w:bookmarkStart w:id="280" w:name="_Toc518055829"/>
      <w:r>
        <w:rPr>
          <w:rFonts w:ascii="宋体" w:hAnsi="宋体"/>
          <w:color w:val="auto"/>
          <w:sz w:val="22"/>
          <w:szCs w:val="22"/>
        </w:rPr>
        <w:t xml:space="preserve">4.3 </w:t>
      </w:r>
      <w:r>
        <w:rPr>
          <w:rFonts w:hint="eastAsia" w:ascii="宋体" w:hAnsi="宋体"/>
          <w:color w:val="auto"/>
          <w:sz w:val="22"/>
          <w:szCs w:val="22"/>
        </w:rPr>
        <w:t>桥梁检测、维修所需材料、设备到达现场前，中标人应提交设备材料清单和供应计划，到场后，双方共同对设备材料进行初步清点，并检查材料出厂检验合格证。</w:t>
      </w:r>
      <w:bookmarkEnd w:id="279"/>
      <w:bookmarkEnd w:id="280"/>
    </w:p>
    <w:p>
      <w:pPr>
        <w:spacing w:line="420" w:lineRule="atLeast"/>
        <w:ind w:firstLine="629" w:firstLineChars="286"/>
        <w:rPr>
          <w:rFonts w:ascii="宋体"/>
          <w:color w:val="auto"/>
          <w:sz w:val="22"/>
          <w:szCs w:val="22"/>
        </w:rPr>
      </w:pPr>
      <w:bookmarkStart w:id="281" w:name="_Toc518055830"/>
      <w:bookmarkStart w:id="282" w:name="_Toc518050650"/>
      <w:r>
        <w:rPr>
          <w:rFonts w:ascii="宋体" w:hAnsi="宋体"/>
          <w:color w:val="auto"/>
          <w:sz w:val="22"/>
          <w:szCs w:val="22"/>
        </w:rPr>
        <w:t xml:space="preserve">4.4 </w:t>
      </w:r>
      <w:r>
        <w:rPr>
          <w:rFonts w:hint="eastAsia" w:ascii="宋体" w:hAnsi="宋体"/>
          <w:color w:val="auto"/>
          <w:sz w:val="22"/>
          <w:szCs w:val="22"/>
        </w:rPr>
        <w:t>中标人在本项目完成时，应向采购人提交符合国家、省、市、专业部门有关规定的报告、档案资料（含其电子文档）一式两份，对于日常维护竣工验收时，应向采购人提供相关图纸及有关技术档案资料（含其电子文档）一式两份。</w:t>
      </w:r>
      <w:bookmarkEnd w:id="281"/>
      <w:bookmarkEnd w:id="282"/>
    </w:p>
    <w:p>
      <w:pPr>
        <w:autoSpaceDE w:val="0"/>
        <w:autoSpaceDN w:val="0"/>
        <w:adjustRightInd w:val="0"/>
        <w:spacing w:line="360" w:lineRule="auto"/>
        <w:ind w:firstLine="525" w:firstLineChars="250"/>
        <w:jc w:val="left"/>
        <w:outlineLvl w:val="1"/>
        <w:rPr>
          <w:rFonts w:ascii="宋体"/>
          <w:color w:val="auto"/>
          <w:kern w:val="0"/>
          <w:szCs w:val="21"/>
        </w:rPr>
      </w:pPr>
    </w:p>
    <w:p>
      <w:pPr>
        <w:spacing w:line="420" w:lineRule="atLeast"/>
        <w:rPr>
          <w:rFonts w:ascii="宋体"/>
          <w:color w:val="auto"/>
          <w:kern w:val="0"/>
          <w:szCs w:val="21"/>
        </w:rPr>
      </w:pPr>
      <w:r>
        <w:rPr>
          <w:rFonts w:ascii="宋体"/>
          <w:color w:val="auto"/>
        </w:rPr>
        <w:br w:type="page"/>
      </w:r>
      <w:bookmarkStart w:id="283" w:name="_Toc518050651"/>
      <w:bookmarkStart w:id="284" w:name="_Toc518055831"/>
      <w:r>
        <w:rPr>
          <w:rFonts w:hint="eastAsia" w:ascii="宋体" w:hAnsi="宋体"/>
          <w:b/>
          <w:color w:val="auto"/>
          <w:sz w:val="22"/>
          <w:szCs w:val="22"/>
        </w:rPr>
        <w:t>六、东莞松山湖城市桥梁检测养护现场考核评分标准</w:t>
      </w:r>
      <w:bookmarkEnd w:id="283"/>
      <w:bookmarkEnd w:id="284"/>
    </w:p>
    <w:p>
      <w:pPr>
        <w:tabs>
          <w:tab w:val="left" w:pos="4500"/>
        </w:tabs>
        <w:autoSpaceDE w:val="0"/>
        <w:autoSpaceDN w:val="0"/>
        <w:adjustRightInd w:val="0"/>
        <w:snapToGrid w:val="0"/>
        <w:spacing w:beforeLines="50"/>
        <w:jc w:val="center"/>
        <w:rPr>
          <w:rFonts w:ascii="宋体"/>
          <w:b/>
          <w:bCs/>
          <w:color w:val="auto"/>
          <w:kern w:val="0"/>
          <w:sz w:val="30"/>
          <w:szCs w:val="30"/>
          <w:u w:val="double"/>
        </w:rPr>
      </w:pPr>
      <w:r>
        <w:rPr>
          <w:rFonts w:hint="eastAsia" w:ascii="宋体" w:hAnsi="宋体"/>
          <w:b/>
          <w:bCs/>
          <w:color w:val="auto"/>
          <w:kern w:val="0"/>
          <w:sz w:val="30"/>
          <w:szCs w:val="30"/>
          <w:u w:val="double"/>
        </w:rPr>
        <w:t>东莞松山湖城市桥梁检测养护现场考核评分暂行标准</w:t>
      </w:r>
    </w:p>
    <w:p>
      <w:pPr>
        <w:snapToGrid w:val="0"/>
        <w:spacing w:line="360" w:lineRule="exact"/>
        <w:rPr>
          <w:rFonts w:ascii="宋体" w:cs="宋体"/>
          <w:color w:val="auto"/>
          <w:sz w:val="22"/>
        </w:rPr>
      </w:pPr>
      <w:r>
        <w:rPr>
          <w:rFonts w:hint="eastAsia" w:ascii="宋体" w:hAnsi="宋体" w:cs="宋体"/>
          <w:color w:val="auto"/>
          <w:sz w:val="22"/>
        </w:rPr>
        <w:t>考核时间段：</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月</w:t>
      </w:r>
      <w:r>
        <w:rPr>
          <w:rFonts w:ascii="宋体" w:hAnsi="宋体" w:cs="宋体"/>
          <w:color w:val="auto"/>
          <w:sz w:val="22"/>
        </w:rPr>
        <w:t xml:space="preserve">  </w:t>
      </w:r>
      <w:r>
        <w:rPr>
          <w:rFonts w:hint="eastAsia" w:ascii="宋体" w:hAnsi="宋体" w:cs="宋体"/>
          <w:color w:val="auto"/>
          <w:sz w:val="22"/>
        </w:rPr>
        <w:t>日至</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月</w:t>
      </w:r>
      <w:r>
        <w:rPr>
          <w:rFonts w:ascii="宋体" w:hAnsi="宋体" w:cs="宋体"/>
          <w:color w:val="auto"/>
          <w:sz w:val="22"/>
        </w:rPr>
        <w:t xml:space="preserve">  </w:t>
      </w:r>
      <w:r>
        <w:rPr>
          <w:rFonts w:hint="eastAsia" w:ascii="宋体" w:hAnsi="宋体" w:cs="宋体"/>
          <w:color w:val="auto"/>
          <w:sz w:val="22"/>
        </w:rPr>
        <w:t>日</w:t>
      </w:r>
      <w:r>
        <w:rPr>
          <w:rFonts w:ascii="宋体" w:hAnsi="宋体" w:cs="宋体"/>
          <w:color w:val="auto"/>
          <w:sz w:val="22"/>
        </w:rPr>
        <w:t xml:space="preserve">    </w:t>
      </w:r>
      <w:r>
        <w:rPr>
          <w:rFonts w:hint="eastAsia" w:ascii="宋体" w:hAnsi="宋体" w:cs="宋体"/>
          <w:color w:val="auto"/>
          <w:sz w:val="22"/>
        </w:rPr>
        <w:t>考评时间：</w:t>
      </w:r>
      <w:r>
        <w:rPr>
          <w:rFonts w:ascii="宋体" w:hAnsi="宋体" w:cs="宋体"/>
          <w:color w:val="auto"/>
          <w:sz w:val="22"/>
        </w:rPr>
        <w:t xml:space="preserve">     </w:t>
      </w:r>
      <w:r>
        <w:rPr>
          <w:rFonts w:hint="eastAsia" w:ascii="宋体" w:hAnsi="宋体" w:cs="宋体"/>
          <w:color w:val="auto"/>
          <w:sz w:val="22"/>
        </w:rPr>
        <w:t>年</w:t>
      </w:r>
      <w:r>
        <w:rPr>
          <w:rFonts w:ascii="宋体" w:hAnsi="宋体" w:cs="宋体"/>
          <w:color w:val="auto"/>
          <w:sz w:val="22"/>
        </w:rPr>
        <w:t xml:space="preserve">   </w:t>
      </w:r>
      <w:r>
        <w:rPr>
          <w:rFonts w:hint="eastAsia" w:ascii="宋体" w:hAnsi="宋体" w:cs="宋体"/>
          <w:color w:val="auto"/>
          <w:sz w:val="22"/>
        </w:rPr>
        <w:t>月</w:t>
      </w:r>
      <w:r>
        <w:rPr>
          <w:rFonts w:ascii="宋体" w:hAnsi="宋体" w:cs="宋体"/>
          <w:color w:val="auto"/>
          <w:sz w:val="22"/>
        </w:rPr>
        <w:t xml:space="preserve">  </w:t>
      </w:r>
      <w:r>
        <w:rPr>
          <w:rFonts w:hint="eastAsia" w:ascii="宋体" w:hAnsi="宋体" w:cs="宋体"/>
          <w:color w:val="auto"/>
          <w:sz w:val="22"/>
        </w:rPr>
        <w:t>日</w:t>
      </w:r>
    </w:p>
    <w:tbl>
      <w:tblPr>
        <w:tblStyle w:val="7"/>
        <w:tblW w:w="991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540"/>
        <w:gridCol w:w="358"/>
        <w:gridCol w:w="3586"/>
        <w:gridCol w:w="4090"/>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18" w:hRule="atLeast"/>
          <w:jc w:val="center"/>
        </w:trPr>
        <w:tc>
          <w:tcPr>
            <w:tcW w:w="542" w:type="dxa"/>
            <w:vMerge w:val="restart"/>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项目名称</w:t>
            </w:r>
          </w:p>
        </w:tc>
        <w:tc>
          <w:tcPr>
            <w:tcW w:w="4484" w:type="dxa"/>
            <w:gridSpan w:val="3"/>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现场考核</w:t>
            </w:r>
          </w:p>
        </w:tc>
        <w:tc>
          <w:tcPr>
            <w:tcW w:w="4090" w:type="dxa"/>
            <w:vMerge w:val="restart"/>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扣分办法</w:t>
            </w:r>
          </w:p>
        </w:tc>
        <w:tc>
          <w:tcPr>
            <w:tcW w:w="798" w:type="dxa"/>
            <w:vMerge w:val="restart"/>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现场检查扣分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jc w:val="center"/>
        </w:trPr>
        <w:tc>
          <w:tcPr>
            <w:tcW w:w="542" w:type="dxa"/>
            <w:vMerge w:val="continue"/>
            <w:vAlign w:val="top"/>
          </w:tcPr>
          <w:p>
            <w:pPr>
              <w:spacing w:line="360" w:lineRule="exact"/>
              <w:rPr>
                <w:rFonts w:ascii="宋体" w:cs="宋体"/>
                <w:color w:val="auto"/>
                <w:sz w:val="20"/>
                <w:szCs w:val="20"/>
              </w:rPr>
            </w:pPr>
          </w:p>
        </w:tc>
        <w:tc>
          <w:tcPr>
            <w:tcW w:w="540" w:type="dxa"/>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总</w:t>
            </w:r>
            <w:r>
              <w:rPr>
                <w:rFonts w:ascii="宋体" w:hAnsi="宋体" w:cs="宋体"/>
                <w:color w:val="auto"/>
                <w:sz w:val="20"/>
                <w:szCs w:val="20"/>
              </w:rPr>
              <w:t xml:space="preserve"> </w:t>
            </w:r>
            <w:r>
              <w:rPr>
                <w:rFonts w:hint="eastAsia" w:ascii="宋体" w:hAnsi="宋体" w:cs="宋体"/>
                <w:color w:val="auto"/>
                <w:sz w:val="20"/>
                <w:szCs w:val="20"/>
              </w:rPr>
              <w:t>分</w:t>
            </w:r>
          </w:p>
        </w:tc>
        <w:tc>
          <w:tcPr>
            <w:tcW w:w="358" w:type="dxa"/>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项目</w:t>
            </w:r>
          </w:p>
        </w:tc>
        <w:tc>
          <w:tcPr>
            <w:tcW w:w="3586" w:type="dxa"/>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检查方法及评分依据</w:t>
            </w:r>
          </w:p>
        </w:tc>
        <w:tc>
          <w:tcPr>
            <w:tcW w:w="4090" w:type="dxa"/>
            <w:vMerge w:val="continue"/>
            <w:vAlign w:val="top"/>
          </w:tcPr>
          <w:p>
            <w:pPr>
              <w:spacing w:line="360" w:lineRule="exact"/>
              <w:rPr>
                <w:rFonts w:ascii="宋体" w:cs="宋体"/>
                <w:color w:val="auto"/>
                <w:sz w:val="20"/>
                <w:szCs w:val="20"/>
              </w:rPr>
            </w:pPr>
          </w:p>
        </w:tc>
        <w:tc>
          <w:tcPr>
            <w:tcW w:w="798" w:type="dxa"/>
            <w:vMerge w:val="continue"/>
            <w:vAlign w:val="top"/>
          </w:tcPr>
          <w:p>
            <w:pPr>
              <w:spacing w:line="360" w:lineRule="exact"/>
              <w:rPr>
                <w:rFonts w:asci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52" w:hRule="atLeast"/>
          <w:jc w:val="center"/>
        </w:trPr>
        <w:tc>
          <w:tcPr>
            <w:tcW w:w="542" w:type="dxa"/>
            <w:vMerge w:val="restart"/>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桥梁经常性检查、定期检测及日常维护项目</w:t>
            </w:r>
          </w:p>
        </w:tc>
        <w:tc>
          <w:tcPr>
            <w:tcW w:w="540" w:type="dxa"/>
            <w:vMerge w:val="restart"/>
            <w:vAlign w:val="top"/>
          </w:tcPr>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hAnsi="宋体" w:cs="宋体"/>
                <w:color w:val="auto"/>
                <w:sz w:val="20"/>
                <w:szCs w:val="20"/>
              </w:rPr>
            </w:pPr>
            <w:r>
              <w:rPr>
                <w:rFonts w:ascii="宋体" w:hAnsi="宋体" w:cs="宋体"/>
                <w:color w:val="auto"/>
                <w:sz w:val="20"/>
                <w:szCs w:val="20"/>
              </w:rPr>
              <w:t>100</w:t>
            </w:r>
          </w:p>
        </w:tc>
        <w:tc>
          <w:tcPr>
            <w:tcW w:w="358" w:type="dxa"/>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日常管理（</w:t>
            </w:r>
            <w:r>
              <w:rPr>
                <w:rFonts w:ascii="宋体" w:hAnsi="宋体" w:cs="宋体"/>
                <w:color w:val="auto"/>
                <w:sz w:val="20"/>
                <w:szCs w:val="20"/>
              </w:rPr>
              <w:t>25</w:t>
            </w:r>
            <w:r>
              <w:rPr>
                <w:rFonts w:hint="eastAsia" w:ascii="宋体" w:hAnsi="宋体" w:cs="宋体"/>
                <w:color w:val="auto"/>
                <w:sz w:val="20"/>
                <w:szCs w:val="20"/>
              </w:rPr>
              <w:t>）</w:t>
            </w:r>
          </w:p>
        </w:tc>
        <w:tc>
          <w:tcPr>
            <w:tcW w:w="3586" w:type="dxa"/>
            <w:vAlign w:val="top"/>
          </w:tcPr>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在莞设有独立的项目部，并按合同要求投入足够的人员车辆；</w:t>
            </w:r>
          </w:p>
          <w:p>
            <w:pPr>
              <w:snapToGrid w:val="0"/>
              <w:spacing w:line="360" w:lineRule="exact"/>
              <w:rPr>
                <w:rFonts w:ascii="宋体" w:cs="宋体"/>
                <w:color w:val="auto"/>
                <w:sz w:val="20"/>
                <w:szCs w:val="20"/>
              </w:rPr>
            </w:pP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投入本项目的人员一旦经确认后，未征得甲方同意不得擅自更换；项目管理人员架构表须上墙，固定在莞人员不得与其他项目部重叠；</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管理制度（管理人员岗位职责、各项养护制度）等必须上墙并及时更新；</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现场人员必须统一着装上岗；</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编制城市桥梁资料卡，并对桥梁动态信息进行记录；</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做好城市桥梁信息管理系统的录入工作，经常性检查、日常维护必须当天录入，定期检测数据于报告确定后</w:t>
            </w:r>
            <w:r>
              <w:rPr>
                <w:rFonts w:ascii="宋体" w:hAnsi="宋体" w:cs="宋体"/>
                <w:color w:val="auto"/>
                <w:sz w:val="20"/>
                <w:szCs w:val="20"/>
              </w:rPr>
              <w:t>2</w:t>
            </w:r>
            <w:r>
              <w:rPr>
                <w:rFonts w:hint="eastAsia" w:ascii="宋体" w:hAnsi="宋体" w:cs="宋体"/>
                <w:color w:val="auto"/>
                <w:sz w:val="20"/>
                <w:szCs w:val="20"/>
              </w:rPr>
              <w:t>周内录入；</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应急物资只能用作本项目应急事故使用；</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必须做好各项突击性检查和迎检工作；</w:t>
            </w:r>
          </w:p>
          <w:p>
            <w:pPr>
              <w:numPr>
                <w:ilvl w:val="0"/>
                <w:numId w:val="1"/>
              </w:numPr>
              <w:tabs>
                <w:tab w:val="left" w:pos="360"/>
              </w:tabs>
              <w:snapToGrid w:val="0"/>
              <w:spacing w:line="360" w:lineRule="exact"/>
              <w:ind w:left="0" w:firstLine="0"/>
              <w:rPr>
                <w:rFonts w:ascii="宋体" w:cs="宋体"/>
                <w:color w:val="auto"/>
                <w:sz w:val="20"/>
                <w:szCs w:val="20"/>
              </w:rPr>
            </w:pPr>
            <w:r>
              <w:rPr>
                <w:rFonts w:hint="eastAsia" w:ascii="宋体" w:hAnsi="宋体" w:cs="宋体"/>
                <w:color w:val="auto"/>
                <w:sz w:val="20"/>
                <w:szCs w:val="20"/>
              </w:rPr>
              <w:t>不发生媒体曝光负面事件。</w:t>
            </w:r>
          </w:p>
        </w:tc>
        <w:tc>
          <w:tcPr>
            <w:tcW w:w="4090" w:type="dxa"/>
            <w:vAlign w:val="top"/>
          </w:tcPr>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未按要求设置项目部，每次扣</w:t>
            </w:r>
            <w:r>
              <w:rPr>
                <w:rFonts w:ascii="宋体" w:hAnsi="宋体" w:cs="宋体"/>
                <w:color w:val="auto"/>
                <w:sz w:val="20"/>
                <w:szCs w:val="20"/>
              </w:rPr>
              <w:t>2</w:t>
            </w:r>
            <w:r>
              <w:rPr>
                <w:rFonts w:hint="eastAsia" w:ascii="宋体" w:hAnsi="宋体" w:cs="宋体"/>
                <w:color w:val="auto"/>
                <w:sz w:val="20"/>
                <w:szCs w:val="20"/>
              </w:rPr>
              <w:t>分；项目部人员车辆不符合同要求，每人次或车次扣</w:t>
            </w:r>
            <w:r>
              <w:rPr>
                <w:rFonts w:ascii="宋体" w:hAnsi="宋体" w:cs="宋体"/>
                <w:color w:val="auto"/>
                <w:sz w:val="20"/>
                <w:szCs w:val="20"/>
              </w:rPr>
              <w:t>1</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擅自更换的，每人次扣</w:t>
            </w:r>
            <w:r>
              <w:rPr>
                <w:rFonts w:ascii="宋体" w:hAnsi="宋体" w:cs="宋体"/>
                <w:color w:val="auto"/>
                <w:sz w:val="20"/>
                <w:szCs w:val="20"/>
              </w:rPr>
              <w:t>1</w:t>
            </w:r>
            <w:r>
              <w:rPr>
                <w:rFonts w:hint="eastAsia" w:ascii="宋体" w:hAnsi="宋体" w:cs="宋体"/>
                <w:color w:val="auto"/>
                <w:sz w:val="20"/>
                <w:szCs w:val="20"/>
              </w:rPr>
              <w:t>分；未按要求设置的，每次扣</w:t>
            </w:r>
            <w:r>
              <w:rPr>
                <w:rFonts w:ascii="宋体" w:hAnsi="宋体" w:cs="宋体"/>
                <w:color w:val="auto"/>
                <w:sz w:val="20"/>
                <w:szCs w:val="20"/>
              </w:rPr>
              <w:t>1</w:t>
            </w:r>
            <w:r>
              <w:rPr>
                <w:rFonts w:hint="eastAsia" w:ascii="宋体" w:hAnsi="宋体" w:cs="宋体"/>
                <w:color w:val="auto"/>
                <w:sz w:val="20"/>
                <w:szCs w:val="20"/>
              </w:rPr>
              <w:t>分；固定在莞人员与其他项目部重叠的，每人次扣</w:t>
            </w:r>
            <w:r>
              <w:rPr>
                <w:rFonts w:ascii="宋体" w:hAnsi="宋体" w:cs="宋体"/>
                <w:color w:val="auto"/>
                <w:sz w:val="20"/>
                <w:szCs w:val="20"/>
              </w:rPr>
              <w:t>1</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未按要求设置或及时更新的，每次扣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未按要求执行的，每人次扣</w:t>
            </w:r>
            <w:r>
              <w:rPr>
                <w:rFonts w:ascii="宋体" w:hAnsi="宋体" w:cs="宋体"/>
                <w:color w:val="auto"/>
                <w:sz w:val="20"/>
                <w:szCs w:val="20"/>
              </w:rPr>
              <w:t>0.5</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未编制桥梁资料卡的，每座桥梁扣</w:t>
            </w:r>
            <w:r>
              <w:rPr>
                <w:rFonts w:ascii="宋体" w:hAnsi="宋体" w:cs="宋体"/>
                <w:color w:val="auto"/>
                <w:sz w:val="20"/>
                <w:szCs w:val="20"/>
              </w:rPr>
              <w:t>1</w:t>
            </w:r>
            <w:r>
              <w:rPr>
                <w:rFonts w:hint="eastAsia" w:ascii="宋体" w:hAnsi="宋体" w:cs="宋体"/>
                <w:color w:val="auto"/>
                <w:sz w:val="20"/>
                <w:szCs w:val="20"/>
              </w:rPr>
              <w:t>分，扣完为止；</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未按要求做好城市桥梁管理信息的录入工作，每座桥梁每次扣</w:t>
            </w:r>
            <w:r>
              <w:rPr>
                <w:rFonts w:ascii="宋体" w:hAnsi="宋体" w:cs="宋体"/>
                <w:color w:val="auto"/>
                <w:sz w:val="20"/>
                <w:szCs w:val="20"/>
              </w:rPr>
              <w:t>0.5</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擅自挪用应急物资用于本项目其他工作或其他项目的，每次扣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未做好迎检工作，被上级批评每次扣</w:t>
            </w:r>
            <w:r>
              <w:rPr>
                <w:rFonts w:ascii="宋体" w:hAnsi="宋体" w:cs="宋体"/>
                <w:color w:val="auto"/>
                <w:sz w:val="20"/>
                <w:szCs w:val="20"/>
              </w:rPr>
              <w:t>2</w:t>
            </w:r>
            <w:r>
              <w:rPr>
                <w:rFonts w:hint="eastAsia" w:ascii="宋体" w:hAnsi="宋体" w:cs="宋体"/>
                <w:color w:val="auto"/>
                <w:sz w:val="20"/>
                <w:szCs w:val="20"/>
              </w:rPr>
              <w:t>分；未做好工作，被市民投诉，情况属实，每次扣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2"/>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因日常养护不当而发生媒体曝光负面事件的，每次扣</w:t>
            </w:r>
            <w:r>
              <w:rPr>
                <w:rFonts w:ascii="宋体" w:hAnsi="宋体" w:cs="宋体"/>
                <w:color w:val="auto"/>
                <w:sz w:val="20"/>
                <w:szCs w:val="20"/>
              </w:rPr>
              <w:t>5</w:t>
            </w:r>
            <w:r>
              <w:rPr>
                <w:rFonts w:hint="eastAsia" w:ascii="宋体" w:hAnsi="宋体" w:cs="宋体"/>
                <w:color w:val="auto"/>
                <w:sz w:val="20"/>
                <w:szCs w:val="20"/>
              </w:rPr>
              <w:t>分。</w:t>
            </w:r>
          </w:p>
        </w:tc>
        <w:tc>
          <w:tcPr>
            <w:tcW w:w="798" w:type="dxa"/>
            <w:vAlign w:val="top"/>
          </w:tcPr>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rPr>
                <w:rFonts w:asci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20" w:hRule="atLeast"/>
          <w:jc w:val="center"/>
        </w:trPr>
        <w:tc>
          <w:tcPr>
            <w:tcW w:w="542" w:type="dxa"/>
            <w:vMerge w:val="continue"/>
            <w:vAlign w:val="top"/>
          </w:tcPr>
          <w:p>
            <w:pPr>
              <w:spacing w:line="360" w:lineRule="exact"/>
              <w:rPr>
                <w:rFonts w:ascii="宋体" w:cs="宋体"/>
                <w:color w:val="auto"/>
                <w:sz w:val="20"/>
                <w:szCs w:val="20"/>
              </w:rPr>
            </w:pPr>
          </w:p>
        </w:tc>
        <w:tc>
          <w:tcPr>
            <w:tcW w:w="540" w:type="dxa"/>
            <w:vMerge w:val="continue"/>
            <w:vAlign w:val="top"/>
          </w:tcPr>
          <w:p>
            <w:pPr>
              <w:spacing w:line="360" w:lineRule="exact"/>
              <w:rPr>
                <w:rFonts w:ascii="宋体" w:cs="宋体"/>
                <w:color w:val="auto"/>
                <w:sz w:val="20"/>
                <w:szCs w:val="20"/>
              </w:rPr>
            </w:pPr>
          </w:p>
        </w:tc>
        <w:tc>
          <w:tcPr>
            <w:tcW w:w="358" w:type="dxa"/>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城市桥梁经常性检查（</w:t>
            </w:r>
            <w:r>
              <w:rPr>
                <w:rFonts w:ascii="宋体" w:hAnsi="宋体" w:cs="宋体"/>
                <w:color w:val="auto"/>
                <w:sz w:val="20"/>
                <w:szCs w:val="20"/>
              </w:rPr>
              <w:t>25</w:t>
            </w:r>
            <w:r>
              <w:rPr>
                <w:rFonts w:hint="eastAsia" w:ascii="宋体" w:hAnsi="宋体" w:cs="宋体"/>
                <w:color w:val="auto"/>
                <w:sz w:val="20"/>
                <w:szCs w:val="20"/>
              </w:rPr>
              <w:t>）</w:t>
            </w:r>
          </w:p>
        </w:tc>
        <w:tc>
          <w:tcPr>
            <w:tcW w:w="3586" w:type="dxa"/>
            <w:vAlign w:val="top"/>
          </w:tcPr>
          <w:p>
            <w:pPr>
              <w:snapToGrid w:val="0"/>
              <w:spacing w:line="360" w:lineRule="exact"/>
              <w:rPr>
                <w:rFonts w:ascii="宋体" w:cs="宋体"/>
                <w:color w:val="auto"/>
                <w:sz w:val="20"/>
                <w:szCs w:val="20"/>
              </w:rPr>
            </w:pPr>
            <w:r>
              <w:rPr>
                <w:rFonts w:ascii="宋体" w:hAnsi="宋体" w:cs="宋体"/>
                <w:color w:val="auto"/>
                <w:sz w:val="20"/>
                <w:szCs w:val="20"/>
              </w:rPr>
              <w:t>1</w:t>
            </w:r>
            <w:r>
              <w:rPr>
                <w:rFonts w:hint="eastAsia" w:ascii="宋体" w:hAnsi="宋体" w:cs="宋体"/>
                <w:color w:val="auto"/>
                <w:sz w:val="20"/>
                <w:szCs w:val="20"/>
              </w:rPr>
              <w:t>、经常性检查频率及检查内容必须按规范要求执行；</w:t>
            </w:r>
          </w:p>
          <w:p>
            <w:pPr>
              <w:numPr>
                <w:ilvl w:val="0"/>
                <w:numId w:val="3"/>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经常性检查时必须开启</w:t>
            </w:r>
            <w:r>
              <w:rPr>
                <w:rFonts w:ascii="宋体" w:hAnsi="宋体" w:cs="宋体"/>
                <w:color w:val="auto"/>
                <w:sz w:val="20"/>
                <w:szCs w:val="20"/>
              </w:rPr>
              <w:t>GPS</w:t>
            </w:r>
            <w:r>
              <w:rPr>
                <w:rFonts w:hint="eastAsia" w:ascii="宋体" w:hAnsi="宋体" w:cs="宋体"/>
                <w:color w:val="auto"/>
                <w:sz w:val="20"/>
                <w:szCs w:val="20"/>
              </w:rPr>
              <w:t>监管系统；</w:t>
            </w:r>
          </w:p>
          <w:p>
            <w:pPr>
              <w:numPr>
                <w:ilvl w:val="0"/>
                <w:numId w:val="3"/>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经常性检查必须按固定路线进行；</w:t>
            </w:r>
          </w:p>
          <w:p>
            <w:pPr>
              <w:numPr>
                <w:ilvl w:val="0"/>
                <w:numId w:val="3"/>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经常性检查应确保检查所需时间；</w:t>
            </w:r>
          </w:p>
          <w:p>
            <w:pPr>
              <w:snapToGrid w:val="0"/>
              <w:spacing w:line="360" w:lineRule="exact"/>
              <w:rPr>
                <w:rFonts w:ascii="宋体" w:cs="宋体"/>
                <w:color w:val="auto"/>
                <w:sz w:val="20"/>
                <w:szCs w:val="20"/>
              </w:rPr>
            </w:pPr>
            <w:r>
              <w:rPr>
                <w:rFonts w:ascii="宋体" w:hAnsi="宋体" w:cs="宋体"/>
                <w:color w:val="auto"/>
                <w:sz w:val="20"/>
                <w:szCs w:val="20"/>
              </w:rPr>
              <w:t>5</w:t>
            </w:r>
            <w:r>
              <w:rPr>
                <w:rFonts w:hint="eastAsia" w:ascii="宋体" w:hAnsi="宋体" w:cs="宋体"/>
                <w:color w:val="auto"/>
                <w:sz w:val="20"/>
                <w:szCs w:val="20"/>
              </w:rPr>
              <w:t>、经常性检查接受甲方和市民的监督；</w:t>
            </w:r>
          </w:p>
          <w:p>
            <w:pPr>
              <w:snapToGrid w:val="0"/>
              <w:spacing w:line="360" w:lineRule="exact"/>
              <w:rPr>
                <w:rFonts w:ascii="宋体" w:cs="宋体"/>
                <w:color w:val="auto"/>
                <w:sz w:val="20"/>
                <w:szCs w:val="20"/>
              </w:rPr>
            </w:pPr>
            <w:r>
              <w:rPr>
                <w:rFonts w:ascii="宋体" w:hAnsi="宋体" w:cs="宋体"/>
                <w:color w:val="auto"/>
                <w:sz w:val="20"/>
                <w:szCs w:val="20"/>
              </w:rPr>
              <w:t>6</w:t>
            </w:r>
            <w:r>
              <w:rPr>
                <w:rFonts w:hint="eastAsia" w:ascii="宋体" w:hAnsi="宋体" w:cs="宋体"/>
                <w:color w:val="auto"/>
                <w:sz w:val="20"/>
                <w:szCs w:val="20"/>
              </w:rPr>
              <w:t>、发现设施明显损坏，影响车辆和行人安全的，应及时建议采取相应措施；</w:t>
            </w:r>
          </w:p>
          <w:p>
            <w:pPr>
              <w:snapToGrid w:val="0"/>
              <w:spacing w:line="360" w:lineRule="exact"/>
              <w:rPr>
                <w:rFonts w:ascii="宋体" w:cs="宋体"/>
                <w:color w:val="auto"/>
                <w:sz w:val="20"/>
                <w:szCs w:val="20"/>
              </w:rPr>
            </w:pPr>
            <w:r>
              <w:rPr>
                <w:rFonts w:ascii="宋体" w:hAnsi="宋体" w:cs="宋体"/>
                <w:color w:val="auto"/>
                <w:sz w:val="20"/>
                <w:szCs w:val="20"/>
              </w:rPr>
              <w:t>7</w:t>
            </w:r>
            <w:r>
              <w:rPr>
                <w:rFonts w:hint="eastAsia" w:ascii="宋体" w:hAnsi="宋体" w:cs="宋体"/>
                <w:color w:val="auto"/>
                <w:sz w:val="20"/>
                <w:szCs w:val="20"/>
              </w:rPr>
              <w:t>、必须做好经常性检查档案记录工作，若发现桥梁存在结构安全问题，要及时提供检查相关数据并提出处理的意见。</w:t>
            </w:r>
          </w:p>
          <w:p>
            <w:pPr>
              <w:snapToGrid w:val="0"/>
              <w:spacing w:line="360" w:lineRule="exact"/>
              <w:rPr>
                <w:rFonts w:ascii="宋体" w:cs="宋体"/>
                <w:color w:val="auto"/>
                <w:sz w:val="20"/>
                <w:szCs w:val="20"/>
              </w:rPr>
            </w:pPr>
            <w:r>
              <w:rPr>
                <w:rFonts w:ascii="宋体" w:hAnsi="宋体" w:cs="宋体"/>
                <w:color w:val="auto"/>
                <w:sz w:val="20"/>
                <w:szCs w:val="20"/>
              </w:rPr>
              <w:t>8</w:t>
            </w:r>
            <w:r>
              <w:rPr>
                <w:rFonts w:hint="eastAsia" w:ascii="宋体" w:hAnsi="宋体" w:cs="宋体"/>
                <w:color w:val="auto"/>
                <w:sz w:val="20"/>
                <w:szCs w:val="20"/>
              </w:rPr>
              <w:t>必须及时更新行车记录仪的数据记录。</w:t>
            </w:r>
          </w:p>
        </w:tc>
        <w:tc>
          <w:tcPr>
            <w:tcW w:w="4090" w:type="dxa"/>
            <w:vAlign w:val="top"/>
          </w:tcPr>
          <w:p>
            <w:pPr>
              <w:numPr>
                <w:ilvl w:val="0"/>
                <w:numId w:val="4"/>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未按规范要求进行检查的，或数据不实的，每座桥每次扣</w:t>
            </w:r>
            <w:r>
              <w:rPr>
                <w:rFonts w:ascii="宋体" w:hAnsi="宋体" w:cs="宋体"/>
                <w:color w:val="auto"/>
                <w:sz w:val="20"/>
                <w:szCs w:val="20"/>
              </w:rPr>
              <w:t>0.5</w:t>
            </w:r>
            <w:r>
              <w:rPr>
                <w:rFonts w:hint="eastAsia" w:ascii="宋体" w:hAnsi="宋体" w:cs="宋体"/>
                <w:color w:val="auto"/>
                <w:sz w:val="20"/>
                <w:szCs w:val="20"/>
              </w:rPr>
              <w:t>分；</w:t>
            </w:r>
          </w:p>
          <w:p>
            <w:pPr>
              <w:numPr>
                <w:ilvl w:val="0"/>
                <w:numId w:val="4"/>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经常性检查时无故未开启</w:t>
            </w:r>
            <w:r>
              <w:rPr>
                <w:rFonts w:ascii="宋体" w:hAnsi="宋体" w:cs="宋体"/>
                <w:color w:val="auto"/>
                <w:sz w:val="20"/>
                <w:szCs w:val="20"/>
              </w:rPr>
              <w:t>GPS</w:t>
            </w:r>
            <w:r>
              <w:rPr>
                <w:rFonts w:hint="eastAsia" w:ascii="宋体" w:hAnsi="宋体" w:cs="宋体"/>
                <w:color w:val="auto"/>
                <w:sz w:val="20"/>
                <w:szCs w:val="20"/>
              </w:rPr>
              <w:t>监管系统的，每次扣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4"/>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经常性检查擅自未按固定路线进行的，每次扣</w:t>
            </w:r>
            <w:r>
              <w:rPr>
                <w:rFonts w:ascii="宋体" w:hAnsi="宋体" w:cs="宋体"/>
                <w:color w:val="auto"/>
                <w:sz w:val="20"/>
                <w:szCs w:val="20"/>
              </w:rPr>
              <w:t>1</w:t>
            </w:r>
            <w:r>
              <w:rPr>
                <w:rFonts w:hint="eastAsia" w:ascii="宋体" w:hAnsi="宋体" w:cs="宋体"/>
                <w:color w:val="auto"/>
                <w:sz w:val="20"/>
                <w:szCs w:val="20"/>
              </w:rPr>
              <w:t>分；</w:t>
            </w:r>
          </w:p>
          <w:p>
            <w:pPr>
              <w:numPr>
                <w:ilvl w:val="0"/>
                <w:numId w:val="4"/>
              </w:numPr>
              <w:snapToGrid w:val="0"/>
              <w:spacing w:line="360" w:lineRule="exact"/>
              <w:ind w:left="0" w:firstLine="0"/>
              <w:rPr>
                <w:rFonts w:ascii="宋体" w:cs="宋体"/>
                <w:color w:val="auto"/>
                <w:sz w:val="20"/>
                <w:szCs w:val="20"/>
              </w:rPr>
            </w:pPr>
            <w:r>
              <w:rPr>
                <w:rFonts w:ascii="宋体" w:hAnsi="宋体" w:cs="宋体"/>
                <w:color w:val="auto"/>
                <w:sz w:val="20"/>
                <w:szCs w:val="20"/>
              </w:rPr>
              <w:t>GPS</w:t>
            </w:r>
            <w:r>
              <w:rPr>
                <w:rFonts w:hint="eastAsia" w:ascii="宋体" w:hAnsi="宋体" w:cs="宋体"/>
                <w:color w:val="auto"/>
                <w:sz w:val="20"/>
                <w:szCs w:val="20"/>
              </w:rPr>
              <w:t>监管系统中记录时间未满足检查所需时间要求的，每次扣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4"/>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经甲方不定期的抽查和市民反映，若存在桥梁病害未在周报反映的，每次扣</w:t>
            </w:r>
            <w:r>
              <w:rPr>
                <w:rFonts w:ascii="宋体" w:hAnsi="宋体" w:cs="宋体"/>
                <w:color w:val="auto"/>
                <w:sz w:val="20"/>
                <w:szCs w:val="20"/>
              </w:rPr>
              <w:t>0.5</w:t>
            </w:r>
            <w:r>
              <w:rPr>
                <w:rFonts w:hint="eastAsia" w:ascii="宋体" w:hAnsi="宋体" w:cs="宋体"/>
                <w:color w:val="auto"/>
                <w:sz w:val="20"/>
                <w:szCs w:val="20"/>
              </w:rPr>
              <w:t>分；</w:t>
            </w:r>
          </w:p>
          <w:p>
            <w:pPr>
              <w:numPr>
                <w:ilvl w:val="0"/>
                <w:numId w:val="4"/>
              </w:numPr>
              <w:snapToGrid w:val="0"/>
              <w:spacing w:line="360" w:lineRule="exact"/>
              <w:ind w:left="0" w:firstLine="0"/>
              <w:rPr>
                <w:rFonts w:ascii="宋体" w:cs="宋体"/>
                <w:color w:val="auto"/>
                <w:sz w:val="20"/>
                <w:szCs w:val="20"/>
              </w:rPr>
            </w:pPr>
            <w:r>
              <w:rPr>
                <w:rFonts w:hint="eastAsia" w:ascii="宋体" w:hAnsi="宋体" w:cs="宋体"/>
                <w:color w:val="auto"/>
                <w:sz w:val="20"/>
                <w:szCs w:val="20"/>
              </w:rPr>
              <w:t>发现设施损坏未及时建议采取相应措施的，每次扣</w:t>
            </w:r>
            <w:r>
              <w:rPr>
                <w:rFonts w:ascii="宋体" w:hAnsi="宋体" w:cs="宋体"/>
                <w:color w:val="auto"/>
                <w:sz w:val="20"/>
                <w:szCs w:val="20"/>
              </w:rPr>
              <w:t>0.5</w:t>
            </w:r>
            <w:r>
              <w:rPr>
                <w:rFonts w:hint="eastAsia" w:ascii="宋体" w:hAnsi="宋体" w:cs="宋体"/>
                <w:color w:val="auto"/>
                <w:sz w:val="20"/>
                <w:szCs w:val="20"/>
              </w:rPr>
              <w:t>分；</w:t>
            </w:r>
          </w:p>
          <w:p>
            <w:pPr>
              <w:snapToGrid w:val="0"/>
              <w:spacing w:line="360" w:lineRule="exact"/>
              <w:rPr>
                <w:rFonts w:ascii="宋体" w:cs="宋体"/>
                <w:color w:val="auto"/>
                <w:sz w:val="20"/>
                <w:szCs w:val="20"/>
              </w:rPr>
            </w:pPr>
            <w:r>
              <w:rPr>
                <w:rFonts w:ascii="宋体" w:hAnsi="宋体" w:cs="宋体"/>
                <w:color w:val="auto"/>
                <w:sz w:val="20"/>
                <w:szCs w:val="20"/>
              </w:rPr>
              <w:t>7</w:t>
            </w:r>
            <w:r>
              <w:rPr>
                <w:rFonts w:hint="eastAsia" w:ascii="宋体" w:hAnsi="宋体" w:cs="宋体"/>
                <w:color w:val="auto"/>
                <w:sz w:val="20"/>
                <w:szCs w:val="20"/>
              </w:rPr>
              <w:t>、未按要求做好经常性检查档案记录工作及对发现的结构安全问题未及时提供相关数据并提出处理意见的，每次扣</w:t>
            </w:r>
            <w:r>
              <w:rPr>
                <w:rFonts w:ascii="宋体" w:hAnsi="宋体" w:cs="宋体"/>
                <w:color w:val="auto"/>
                <w:sz w:val="20"/>
                <w:szCs w:val="20"/>
              </w:rPr>
              <w:t>0.5</w:t>
            </w:r>
            <w:r>
              <w:rPr>
                <w:rFonts w:hint="eastAsia" w:ascii="宋体" w:hAnsi="宋体" w:cs="宋体"/>
                <w:color w:val="auto"/>
                <w:sz w:val="20"/>
                <w:szCs w:val="20"/>
              </w:rPr>
              <w:t>分。</w:t>
            </w:r>
          </w:p>
          <w:p>
            <w:pPr>
              <w:snapToGrid w:val="0"/>
              <w:spacing w:line="360" w:lineRule="exact"/>
              <w:rPr>
                <w:rFonts w:ascii="宋体" w:cs="宋体"/>
                <w:color w:val="auto"/>
                <w:sz w:val="20"/>
                <w:szCs w:val="20"/>
              </w:rPr>
            </w:pPr>
            <w:r>
              <w:rPr>
                <w:rFonts w:ascii="宋体" w:hAnsi="宋体" w:cs="宋体"/>
                <w:color w:val="auto"/>
                <w:sz w:val="20"/>
                <w:szCs w:val="20"/>
              </w:rPr>
              <w:t>8</w:t>
            </w:r>
            <w:r>
              <w:rPr>
                <w:rFonts w:hint="eastAsia" w:ascii="宋体" w:hAnsi="宋体" w:cs="宋体"/>
                <w:color w:val="auto"/>
                <w:sz w:val="20"/>
                <w:szCs w:val="20"/>
              </w:rPr>
              <w:t>、未按要求及时更新数据记录工作的，每座桥梁每次扣</w:t>
            </w:r>
            <w:r>
              <w:rPr>
                <w:rFonts w:ascii="宋体" w:hAnsi="宋体" w:cs="宋体"/>
                <w:color w:val="auto"/>
                <w:sz w:val="20"/>
                <w:szCs w:val="20"/>
              </w:rPr>
              <w:t>1</w:t>
            </w:r>
            <w:r>
              <w:rPr>
                <w:rFonts w:hint="eastAsia" w:ascii="宋体" w:hAnsi="宋体" w:cs="宋体"/>
                <w:color w:val="auto"/>
                <w:sz w:val="20"/>
                <w:szCs w:val="20"/>
              </w:rPr>
              <w:t>分。</w:t>
            </w:r>
          </w:p>
        </w:tc>
        <w:tc>
          <w:tcPr>
            <w:tcW w:w="798" w:type="dxa"/>
            <w:vAlign w:val="top"/>
          </w:tcPr>
          <w:p>
            <w:pPr>
              <w:spacing w:line="360" w:lineRule="exact"/>
              <w:rPr>
                <w:rFonts w:asci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90" w:hRule="atLeast"/>
          <w:jc w:val="center"/>
        </w:trPr>
        <w:tc>
          <w:tcPr>
            <w:tcW w:w="542" w:type="dxa"/>
            <w:vMerge w:val="continue"/>
            <w:vAlign w:val="top"/>
          </w:tcPr>
          <w:p>
            <w:pPr>
              <w:spacing w:line="360" w:lineRule="exact"/>
              <w:rPr>
                <w:rFonts w:ascii="宋体" w:cs="宋体"/>
                <w:color w:val="auto"/>
                <w:sz w:val="20"/>
                <w:szCs w:val="20"/>
              </w:rPr>
            </w:pPr>
          </w:p>
        </w:tc>
        <w:tc>
          <w:tcPr>
            <w:tcW w:w="540" w:type="dxa"/>
            <w:vMerge w:val="continue"/>
            <w:vAlign w:val="top"/>
          </w:tcPr>
          <w:p>
            <w:pPr>
              <w:spacing w:line="360" w:lineRule="exact"/>
              <w:rPr>
                <w:rFonts w:ascii="宋体" w:cs="宋体"/>
                <w:color w:val="auto"/>
                <w:sz w:val="20"/>
                <w:szCs w:val="20"/>
              </w:rPr>
            </w:pPr>
          </w:p>
        </w:tc>
        <w:tc>
          <w:tcPr>
            <w:tcW w:w="358" w:type="dxa"/>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城市桥梁定期检测（</w:t>
            </w:r>
            <w:r>
              <w:rPr>
                <w:rFonts w:ascii="宋体" w:hAnsi="宋体" w:cs="宋体"/>
                <w:color w:val="auto"/>
                <w:sz w:val="20"/>
                <w:szCs w:val="20"/>
              </w:rPr>
              <w:t>25</w:t>
            </w:r>
            <w:r>
              <w:rPr>
                <w:rFonts w:hint="eastAsia" w:ascii="宋体" w:hAnsi="宋体" w:cs="宋体"/>
                <w:color w:val="auto"/>
                <w:sz w:val="20"/>
                <w:szCs w:val="20"/>
              </w:rPr>
              <w:t>）</w:t>
            </w:r>
          </w:p>
        </w:tc>
        <w:tc>
          <w:tcPr>
            <w:tcW w:w="3586" w:type="dxa"/>
            <w:vAlign w:val="top"/>
          </w:tcPr>
          <w:p>
            <w:pPr>
              <w:numPr>
                <w:ilvl w:val="0"/>
                <w:numId w:val="5"/>
              </w:numPr>
              <w:spacing w:line="360" w:lineRule="exact"/>
              <w:ind w:left="0" w:firstLine="0"/>
              <w:rPr>
                <w:rFonts w:ascii="宋体" w:cs="宋体"/>
                <w:color w:val="auto"/>
                <w:sz w:val="20"/>
                <w:szCs w:val="20"/>
              </w:rPr>
            </w:pPr>
            <w:r>
              <w:rPr>
                <w:rFonts w:hint="eastAsia" w:ascii="宋体" w:hAnsi="宋体" w:cs="宋体"/>
                <w:color w:val="auto"/>
                <w:sz w:val="20"/>
                <w:szCs w:val="20"/>
              </w:rPr>
              <w:t>常规定期检测和结构定期检测按在规定时间完成；</w:t>
            </w:r>
          </w:p>
          <w:p>
            <w:pPr>
              <w:numPr>
                <w:ilvl w:val="0"/>
                <w:numId w:val="5"/>
              </w:numPr>
              <w:spacing w:line="360" w:lineRule="exact"/>
              <w:ind w:left="0" w:firstLine="0"/>
              <w:rPr>
                <w:rFonts w:ascii="宋体" w:cs="宋体"/>
                <w:color w:val="auto"/>
                <w:sz w:val="20"/>
                <w:szCs w:val="20"/>
              </w:rPr>
            </w:pPr>
            <w:r>
              <w:rPr>
                <w:rFonts w:hint="eastAsia" w:ascii="宋体" w:hAnsi="宋体" w:cs="宋体"/>
                <w:color w:val="auto"/>
                <w:sz w:val="20"/>
                <w:szCs w:val="20"/>
              </w:rPr>
              <w:t>定期检测需提前</w:t>
            </w:r>
            <w:r>
              <w:rPr>
                <w:rFonts w:ascii="宋体" w:hAnsi="宋体" w:cs="宋体"/>
                <w:color w:val="auto"/>
                <w:sz w:val="20"/>
                <w:szCs w:val="20"/>
              </w:rPr>
              <w:t>10</w:t>
            </w:r>
            <w:r>
              <w:rPr>
                <w:rFonts w:hint="eastAsia" w:ascii="宋体" w:hAnsi="宋体" w:cs="宋体"/>
                <w:color w:val="auto"/>
                <w:sz w:val="20"/>
                <w:szCs w:val="20"/>
              </w:rPr>
              <w:t>个工作日提交检测方案，经甲方同意后按质按量完成；</w:t>
            </w:r>
          </w:p>
          <w:p>
            <w:pPr>
              <w:numPr>
                <w:ilvl w:val="0"/>
                <w:numId w:val="5"/>
              </w:numPr>
              <w:spacing w:line="360" w:lineRule="exact"/>
              <w:ind w:left="0" w:firstLine="0"/>
              <w:rPr>
                <w:rFonts w:ascii="宋体" w:cs="宋体"/>
                <w:color w:val="auto"/>
                <w:sz w:val="20"/>
                <w:szCs w:val="20"/>
              </w:rPr>
            </w:pPr>
            <w:r>
              <w:rPr>
                <w:rFonts w:hint="eastAsia" w:ascii="宋体" w:hAnsi="宋体" w:cs="宋体"/>
                <w:color w:val="auto"/>
                <w:sz w:val="20"/>
                <w:szCs w:val="20"/>
              </w:rPr>
              <w:t>检测内容及相关措施必须严格按规范进行；</w:t>
            </w:r>
          </w:p>
          <w:p>
            <w:pPr>
              <w:numPr>
                <w:ilvl w:val="0"/>
                <w:numId w:val="5"/>
              </w:numPr>
              <w:spacing w:line="360" w:lineRule="exact"/>
              <w:ind w:left="0" w:firstLine="0"/>
              <w:rPr>
                <w:rFonts w:ascii="宋体" w:cs="宋体"/>
                <w:color w:val="auto"/>
                <w:sz w:val="20"/>
                <w:szCs w:val="20"/>
              </w:rPr>
            </w:pPr>
            <w:r>
              <w:rPr>
                <w:rFonts w:hint="eastAsia" w:ascii="宋体" w:hAnsi="宋体" w:cs="宋体"/>
                <w:color w:val="auto"/>
                <w:sz w:val="20"/>
                <w:szCs w:val="20"/>
              </w:rPr>
              <w:t>定期检测必须严格按国家规范执行，检测工作真实到位；</w:t>
            </w:r>
          </w:p>
          <w:p>
            <w:pPr>
              <w:numPr>
                <w:ilvl w:val="0"/>
                <w:numId w:val="5"/>
              </w:numPr>
              <w:spacing w:line="360" w:lineRule="exact"/>
              <w:ind w:left="0" w:firstLine="0"/>
              <w:rPr>
                <w:rFonts w:ascii="宋体" w:cs="宋体"/>
                <w:color w:val="auto"/>
                <w:sz w:val="20"/>
                <w:szCs w:val="20"/>
              </w:rPr>
            </w:pPr>
            <w:r>
              <w:rPr>
                <w:rFonts w:hint="eastAsia" w:ascii="宋体" w:hAnsi="宋体" w:cs="宋体"/>
                <w:color w:val="auto"/>
                <w:sz w:val="20"/>
                <w:szCs w:val="20"/>
              </w:rPr>
              <w:t>定期检测必须出具有效的检测报告，若发现桥梁存在结构安全问题，要及时提供检测相关数据并提出处理的意见。</w:t>
            </w:r>
          </w:p>
        </w:tc>
        <w:tc>
          <w:tcPr>
            <w:tcW w:w="4090" w:type="dxa"/>
            <w:vAlign w:val="top"/>
          </w:tcPr>
          <w:p>
            <w:pPr>
              <w:numPr>
                <w:ilvl w:val="0"/>
                <w:numId w:val="6"/>
              </w:numPr>
              <w:spacing w:line="360" w:lineRule="exact"/>
              <w:ind w:left="0" w:firstLine="0"/>
              <w:rPr>
                <w:rFonts w:ascii="宋体" w:cs="宋体"/>
                <w:color w:val="auto"/>
                <w:sz w:val="20"/>
                <w:szCs w:val="20"/>
              </w:rPr>
            </w:pPr>
            <w:r>
              <w:rPr>
                <w:rFonts w:hint="eastAsia" w:ascii="宋体" w:hAnsi="宋体" w:cs="宋体"/>
                <w:color w:val="auto"/>
                <w:sz w:val="20"/>
                <w:szCs w:val="20"/>
              </w:rPr>
              <w:t>未在规定时间内完成检测工作的，每次扣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6"/>
              </w:numPr>
              <w:spacing w:line="360" w:lineRule="exact"/>
              <w:ind w:left="0" w:firstLine="0"/>
              <w:rPr>
                <w:rFonts w:ascii="宋体" w:cs="宋体"/>
                <w:color w:val="auto"/>
                <w:sz w:val="20"/>
                <w:szCs w:val="20"/>
              </w:rPr>
            </w:pPr>
            <w:r>
              <w:rPr>
                <w:rFonts w:hint="eastAsia" w:ascii="宋体" w:hAnsi="宋体" w:cs="宋体"/>
                <w:color w:val="auto"/>
                <w:sz w:val="20"/>
                <w:szCs w:val="20"/>
              </w:rPr>
              <w:t>未按要求提交检测方案每次扣</w:t>
            </w:r>
            <w:r>
              <w:rPr>
                <w:rFonts w:ascii="宋体" w:hAnsi="宋体" w:cs="宋体"/>
                <w:color w:val="auto"/>
                <w:sz w:val="20"/>
                <w:szCs w:val="20"/>
              </w:rPr>
              <w:t>1</w:t>
            </w:r>
            <w:r>
              <w:rPr>
                <w:rFonts w:hint="eastAsia" w:ascii="宋体" w:hAnsi="宋体" w:cs="宋体"/>
                <w:color w:val="auto"/>
                <w:sz w:val="20"/>
                <w:szCs w:val="20"/>
              </w:rPr>
              <w:t>分；未按甲方要求完成检测任务的，每次扣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6"/>
              </w:numPr>
              <w:spacing w:line="360" w:lineRule="exact"/>
              <w:ind w:left="0" w:firstLine="0"/>
              <w:rPr>
                <w:rFonts w:ascii="宋体" w:cs="宋体"/>
                <w:color w:val="auto"/>
                <w:sz w:val="20"/>
                <w:szCs w:val="20"/>
              </w:rPr>
            </w:pPr>
            <w:r>
              <w:rPr>
                <w:rFonts w:hint="eastAsia" w:ascii="宋体" w:hAnsi="宋体" w:cs="宋体"/>
                <w:color w:val="auto"/>
                <w:sz w:val="20"/>
                <w:szCs w:val="20"/>
              </w:rPr>
              <w:t>未按要求进行检测的，或存在漏检或检测结果出错的，每次扣</w:t>
            </w:r>
            <w:r>
              <w:rPr>
                <w:rFonts w:ascii="宋体" w:hAnsi="宋体" w:cs="宋体"/>
                <w:color w:val="auto"/>
                <w:sz w:val="20"/>
                <w:szCs w:val="20"/>
              </w:rPr>
              <w:t>3</w:t>
            </w:r>
            <w:r>
              <w:rPr>
                <w:rFonts w:hint="eastAsia" w:ascii="宋体" w:hAnsi="宋体" w:cs="宋体"/>
                <w:color w:val="auto"/>
                <w:sz w:val="20"/>
                <w:szCs w:val="20"/>
              </w:rPr>
              <w:t>分；</w:t>
            </w:r>
          </w:p>
          <w:p>
            <w:pPr>
              <w:numPr>
                <w:ilvl w:val="0"/>
                <w:numId w:val="6"/>
              </w:numPr>
              <w:spacing w:line="360" w:lineRule="exact"/>
              <w:ind w:left="0" w:firstLine="0"/>
              <w:rPr>
                <w:rFonts w:ascii="宋体" w:cs="宋体"/>
                <w:color w:val="auto"/>
                <w:sz w:val="20"/>
                <w:szCs w:val="20"/>
              </w:rPr>
            </w:pPr>
            <w:r>
              <w:rPr>
                <w:rFonts w:hint="eastAsia" w:ascii="宋体" w:hAnsi="宋体" w:cs="宋体"/>
                <w:color w:val="auto"/>
                <w:sz w:val="20"/>
                <w:szCs w:val="20"/>
              </w:rPr>
              <w:t>若存在弄虚作假的行为，每次扣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6"/>
              </w:numPr>
              <w:spacing w:line="360" w:lineRule="exact"/>
              <w:ind w:left="0" w:firstLine="0"/>
              <w:rPr>
                <w:rFonts w:ascii="宋体" w:cs="宋体"/>
                <w:color w:val="auto"/>
                <w:sz w:val="20"/>
                <w:szCs w:val="20"/>
              </w:rPr>
            </w:pPr>
            <w:r>
              <w:rPr>
                <w:rFonts w:hint="eastAsia" w:ascii="宋体" w:hAnsi="宋体" w:cs="宋体"/>
                <w:color w:val="auto"/>
                <w:sz w:val="20"/>
                <w:szCs w:val="20"/>
              </w:rPr>
              <w:t>发现桥梁存在结构安全问题，没及时提出相关数据和处理意见，每次扣</w:t>
            </w:r>
            <w:r>
              <w:rPr>
                <w:rFonts w:ascii="宋体" w:hAnsi="宋体" w:cs="宋体"/>
                <w:color w:val="auto"/>
                <w:sz w:val="20"/>
                <w:szCs w:val="20"/>
              </w:rPr>
              <w:t>2</w:t>
            </w:r>
            <w:r>
              <w:rPr>
                <w:rFonts w:hint="eastAsia" w:ascii="宋体" w:hAnsi="宋体" w:cs="宋体"/>
                <w:color w:val="auto"/>
                <w:sz w:val="20"/>
                <w:szCs w:val="20"/>
              </w:rPr>
              <w:t>分。</w:t>
            </w:r>
          </w:p>
        </w:tc>
        <w:tc>
          <w:tcPr>
            <w:tcW w:w="798" w:type="dxa"/>
            <w:vAlign w:val="top"/>
          </w:tcPr>
          <w:p>
            <w:pPr>
              <w:spacing w:line="360" w:lineRule="exact"/>
              <w:rPr>
                <w:rFonts w:ascii="宋体" w:hAnsi="宋体" w:cs="宋体"/>
                <w:color w:val="auto"/>
                <w:sz w:val="20"/>
                <w:szCs w:val="20"/>
              </w:rPr>
            </w:pPr>
            <w:r>
              <w:rPr>
                <w:rFonts w:ascii="宋体" w:hAnsi="宋体" w:cs="宋体"/>
                <w:color w:val="auto"/>
                <w:sz w:val="20"/>
                <w:szCs w:val="20"/>
              </w:rPr>
              <w:t xml:space="preserve"> </w:t>
            </w:r>
          </w:p>
          <w:p>
            <w:pPr>
              <w:spacing w:line="360" w:lineRule="exact"/>
              <w:jc w:val="center"/>
              <w:rPr>
                <w:rFonts w:ascii="宋体" w:cs="宋体"/>
                <w:color w:val="auto"/>
                <w:sz w:val="20"/>
                <w:szCs w:val="20"/>
              </w:rPr>
            </w:pPr>
          </w:p>
          <w:p>
            <w:pPr>
              <w:spacing w:line="360" w:lineRule="exact"/>
              <w:jc w:val="center"/>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p>
            <w:pPr>
              <w:spacing w:line="360" w:lineRule="exact"/>
              <w:rPr>
                <w:rFonts w:asci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66" w:hRule="atLeast"/>
          <w:jc w:val="center"/>
        </w:trPr>
        <w:tc>
          <w:tcPr>
            <w:tcW w:w="542" w:type="dxa"/>
            <w:vMerge w:val="continue"/>
            <w:vAlign w:val="top"/>
          </w:tcPr>
          <w:p>
            <w:pPr>
              <w:spacing w:line="360" w:lineRule="exact"/>
              <w:rPr>
                <w:rFonts w:ascii="宋体" w:cs="宋体"/>
                <w:color w:val="auto"/>
                <w:sz w:val="20"/>
                <w:szCs w:val="20"/>
              </w:rPr>
            </w:pPr>
          </w:p>
        </w:tc>
        <w:tc>
          <w:tcPr>
            <w:tcW w:w="540" w:type="dxa"/>
            <w:vMerge w:val="continue"/>
            <w:vAlign w:val="top"/>
          </w:tcPr>
          <w:p>
            <w:pPr>
              <w:spacing w:line="360" w:lineRule="exact"/>
              <w:rPr>
                <w:rFonts w:ascii="宋体" w:cs="宋体"/>
                <w:color w:val="auto"/>
                <w:sz w:val="20"/>
                <w:szCs w:val="20"/>
              </w:rPr>
            </w:pPr>
          </w:p>
        </w:tc>
        <w:tc>
          <w:tcPr>
            <w:tcW w:w="358" w:type="dxa"/>
            <w:textDirection w:val="tbRlV"/>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城市桥梁日常维护（</w:t>
            </w:r>
            <w:r>
              <w:rPr>
                <w:rFonts w:ascii="宋体" w:hAnsi="宋体" w:cs="宋体"/>
                <w:color w:val="auto"/>
                <w:sz w:val="20"/>
                <w:szCs w:val="20"/>
              </w:rPr>
              <w:t>25</w:t>
            </w:r>
            <w:r>
              <w:rPr>
                <w:rFonts w:hint="eastAsia" w:ascii="宋体" w:hAnsi="宋体" w:cs="宋体"/>
                <w:color w:val="auto"/>
                <w:sz w:val="20"/>
                <w:szCs w:val="20"/>
              </w:rPr>
              <w:t>）</w:t>
            </w:r>
          </w:p>
        </w:tc>
        <w:tc>
          <w:tcPr>
            <w:tcW w:w="3586" w:type="dxa"/>
            <w:vAlign w:val="top"/>
          </w:tcPr>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日常维护项目必须及时维修。经甲方同意实施的维修项目，在审批之后</w:t>
            </w:r>
            <w:r>
              <w:rPr>
                <w:rFonts w:ascii="宋体" w:hAnsi="宋体" w:cs="宋体"/>
                <w:color w:val="auto"/>
                <w:sz w:val="20"/>
                <w:szCs w:val="20"/>
              </w:rPr>
              <w:t>7</w:t>
            </w:r>
            <w:r>
              <w:rPr>
                <w:rFonts w:hint="eastAsia" w:ascii="宋体" w:hAnsi="宋体" w:cs="宋体"/>
                <w:color w:val="auto"/>
                <w:sz w:val="20"/>
                <w:szCs w:val="20"/>
              </w:rPr>
              <w:t>日内必须进场施工，或发出通知之后</w:t>
            </w:r>
            <w:r>
              <w:rPr>
                <w:rFonts w:ascii="宋体" w:hAnsi="宋体" w:cs="宋体"/>
                <w:color w:val="auto"/>
                <w:sz w:val="20"/>
                <w:szCs w:val="20"/>
              </w:rPr>
              <w:t>24</w:t>
            </w:r>
            <w:r>
              <w:rPr>
                <w:rFonts w:hint="eastAsia" w:ascii="宋体" w:hAnsi="宋体" w:cs="宋体"/>
                <w:color w:val="auto"/>
                <w:sz w:val="20"/>
                <w:szCs w:val="20"/>
              </w:rPr>
              <w:t>小时内必须进场施工；</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日常维修必须在规定时间内完成；</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日常维修必须以月为单位制定年度维修计划，并按计划严格执行；</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主要维修任务必须在当年</w:t>
            </w:r>
            <w:r>
              <w:rPr>
                <w:rFonts w:ascii="宋体" w:hAnsi="宋体" w:cs="宋体"/>
                <w:color w:val="auto"/>
                <w:sz w:val="20"/>
                <w:szCs w:val="20"/>
              </w:rPr>
              <w:t>10</w:t>
            </w:r>
            <w:r>
              <w:rPr>
                <w:rFonts w:hint="eastAsia" w:ascii="宋体" w:hAnsi="宋体" w:cs="宋体"/>
                <w:color w:val="auto"/>
                <w:sz w:val="20"/>
                <w:szCs w:val="20"/>
              </w:rPr>
              <w:t>月完成；</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日常维修必须按实际损坏情况进行维修；</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日常维修质量必须达到相关规范要求；</w:t>
            </w:r>
          </w:p>
          <w:p>
            <w:pPr>
              <w:numPr>
                <w:ilvl w:val="0"/>
                <w:numId w:val="7"/>
              </w:numPr>
              <w:spacing w:line="360" w:lineRule="exact"/>
              <w:ind w:left="0" w:firstLine="0"/>
              <w:rPr>
                <w:rFonts w:ascii="宋体" w:cs="宋体"/>
                <w:color w:val="auto"/>
                <w:sz w:val="20"/>
                <w:szCs w:val="20"/>
              </w:rPr>
            </w:pPr>
            <w:r>
              <w:rPr>
                <w:rFonts w:hint="eastAsia" w:ascii="宋体" w:hAnsi="宋体" w:cs="宋体"/>
                <w:color w:val="auto"/>
                <w:sz w:val="20"/>
                <w:szCs w:val="20"/>
              </w:rPr>
              <w:t>必须做到文明施工，做到工完、料净、场地清；</w:t>
            </w:r>
          </w:p>
        </w:tc>
        <w:tc>
          <w:tcPr>
            <w:tcW w:w="4090" w:type="dxa"/>
            <w:vAlign w:val="top"/>
          </w:tcPr>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维修不及时的或未按要求进场施工的，每次扣</w:t>
            </w:r>
            <w:r>
              <w:rPr>
                <w:rFonts w:ascii="宋体" w:hAnsi="宋体" w:cs="宋体"/>
                <w:color w:val="auto"/>
                <w:sz w:val="20"/>
                <w:szCs w:val="20"/>
              </w:rPr>
              <w:t>2</w:t>
            </w:r>
            <w:r>
              <w:rPr>
                <w:rFonts w:hint="eastAsia" w:ascii="宋体" w:hAnsi="宋体" w:cs="宋体"/>
                <w:color w:val="auto"/>
                <w:sz w:val="20"/>
                <w:szCs w:val="20"/>
              </w:rPr>
              <w:t>分，扣完为止；</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日常维修未按时完成的，每座桥每次扣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未制定年度维修计划的，每次扣</w:t>
            </w:r>
            <w:r>
              <w:rPr>
                <w:rFonts w:ascii="宋体" w:hAnsi="宋体" w:cs="宋体"/>
                <w:color w:val="auto"/>
                <w:sz w:val="20"/>
                <w:szCs w:val="20"/>
              </w:rPr>
              <w:t>2</w:t>
            </w:r>
            <w:r>
              <w:rPr>
                <w:rFonts w:hint="eastAsia" w:ascii="宋体" w:hAnsi="宋体" w:cs="宋体"/>
                <w:color w:val="auto"/>
                <w:sz w:val="20"/>
                <w:szCs w:val="20"/>
              </w:rPr>
              <w:t>分；未严格按计划执行的，每次扣</w:t>
            </w:r>
            <w:r>
              <w:rPr>
                <w:rFonts w:ascii="宋体" w:hAnsi="宋体" w:cs="宋体"/>
                <w:color w:val="auto"/>
                <w:sz w:val="20"/>
                <w:szCs w:val="20"/>
              </w:rPr>
              <w:t>1</w:t>
            </w:r>
            <w:r>
              <w:rPr>
                <w:rFonts w:hint="eastAsia" w:ascii="宋体" w:hAnsi="宋体" w:cs="宋体"/>
                <w:color w:val="auto"/>
                <w:sz w:val="20"/>
                <w:szCs w:val="20"/>
              </w:rPr>
              <w:t>分；</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主要维修任务未按时完成，扣</w:t>
            </w:r>
            <w:r>
              <w:rPr>
                <w:rFonts w:ascii="宋体" w:hAnsi="宋体" w:cs="宋体"/>
                <w:color w:val="auto"/>
                <w:sz w:val="20"/>
                <w:szCs w:val="20"/>
              </w:rPr>
              <w:t>2</w:t>
            </w:r>
            <w:r>
              <w:rPr>
                <w:rFonts w:hint="eastAsia" w:ascii="宋体" w:hAnsi="宋体" w:cs="宋体"/>
                <w:color w:val="auto"/>
                <w:sz w:val="20"/>
                <w:szCs w:val="20"/>
              </w:rPr>
              <w:t>分；</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若发现有自毁、自盗行为，每座桥每次扣</w:t>
            </w:r>
            <w:r>
              <w:rPr>
                <w:rFonts w:ascii="宋体" w:hAnsi="宋体" w:cs="宋体"/>
                <w:color w:val="auto"/>
                <w:sz w:val="20"/>
                <w:szCs w:val="20"/>
              </w:rPr>
              <w:t>5</w:t>
            </w:r>
            <w:r>
              <w:rPr>
                <w:rFonts w:hint="eastAsia" w:ascii="宋体" w:hAnsi="宋体" w:cs="宋体"/>
                <w:color w:val="auto"/>
                <w:sz w:val="20"/>
                <w:szCs w:val="20"/>
              </w:rPr>
              <w:t>分；</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日常维修质量不合格，达不到相关规范要求的，每次扣</w:t>
            </w:r>
            <w:r>
              <w:rPr>
                <w:rFonts w:ascii="宋体" w:hAnsi="宋体" w:cs="宋体"/>
                <w:color w:val="auto"/>
                <w:sz w:val="20"/>
                <w:szCs w:val="20"/>
              </w:rPr>
              <w:t>2</w:t>
            </w:r>
            <w:r>
              <w:rPr>
                <w:rFonts w:hint="eastAsia" w:ascii="宋体" w:hAnsi="宋体" w:cs="宋体"/>
                <w:color w:val="auto"/>
                <w:sz w:val="20"/>
                <w:szCs w:val="20"/>
              </w:rPr>
              <w:t>分；</w:t>
            </w:r>
          </w:p>
          <w:p>
            <w:pPr>
              <w:numPr>
                <w:ilvl w:val="0"/>
                <w:numId w:val="8"/>
              </w:numPr>
              <w:spacing w:line="360" w:lineRule="exact"/>
              <w:ind w:left="0" w:firstLine="0"/>
              <w:rPr>
                <w:rFonts w:ascii="宋体" w:cs="宋体"/>
                <w:color w:val="auto"/>
                <w:sz w:val="20"/>
                <w:szCs w:val="20"/>
              </w:rPr>
            </w:pPr>
            <w:r>
              <w:rPr>
                <w:rFonts w:hint="eastAsia" w:ascii="宋体" w:hAnsi="宋体" w:cs="宋体"/>
                <w:color w:val="auto"/>
                <w:sz w:val="20"/>
                <w:szCs w:val="20"/>
              </w:rPr>
              <w:t>发现未按要求做到文明施工，每次扣</w:t>
            </w:r>
            <w:r>
              <w:rPr>
                <w:rFonts w:ascii="宋体" w:hAnsi="宋体" w:cs="宋体"/>
                <w:color w:val="auto"/>
                <w:sz w:val="20"/>
                <w:szCs w:val="20"/>
              </w:rPr>
              <w:t>1</w:t>
            </w:r>
            <w:r>
              <w:rPr>
                <w:rFonts w:hint="eastAsia" w:ascii="宋体" w:hAnsi="宋体" w:cs="宋体"/>
                <w:color w:val="auto"/>
                <w:sz w:val="20"/>
                <w:szCs w:val="20"/>
              </w:rPr>
              <w:t>分；</w:t>
            </w:r>
          </w:p>
        </w:tc>
        <w:tc>
          <w:tcPr>
            <w:tcW w:w="798" w:type="dxa"/>
            <w:vAlign w:val="top"/>
          </w:tcPr>
          <w:p>
            <w:pPr>
              <w:spacing w:line="360" w:lineRule="exact"/>
              <w:rPr>
                <w:rFonts w:ascii="宋体" w:cs="宋体"/>
                <w:color w:val="auto"/>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38" w:hRule="atLeast"/>
          <w:jc w:val="center"/>
        </w:trPr>
        <w:tc>
          <w:tcPr>
            <w:tcW w:w="9914" w:type="dxa"/>
            <w:gridSpan w:val="6"/>
            <w:vAlign w:val="center"/>
          </w:tcPr>
          <w:p>
            <w:pPr>
              <w:spacing w:line="360" w:lineRule="exact"/>
              <w:jc w:val="center"/>
              <w:rPr>
                <w:rFonts w:ascii="宋体" w:cs="宋体"/>
                <w:color w:val="auto"/>
                <w:sz w:val="20"/>
                <w:szCs w:val="20"/>
              </w:rPr>
            </w:pPr>
            <w:r>
              <w:rPr>
                <w:rFonts w:hint="eastAsia" w:ascii="宋体" w:hAnsi="宋体" w:cs="宋体"/>
                <w:color w:val="auto"/>
                <w:sz w:val="20"/>
                <w:szCs w:val="20"/>
              </w:rPr>
              <w:t>合计实得分（</w:t>
            </w:r>
            <w:r>
              <w:rPr>
                <w:rFonts w:ascii="宋体" w:hAnsi="宋体" w:cs="宋体"/>
                <w:color w:val="auto"/>
                <w:sz w:val="20"/>
                <w:szCs w:val="20"/>
              </w:rPr>
              <w:t xml:space="preserve">         </w:t>
            </w:r>
            <w:r>
              <w:rPr>
                <w:rFonts w:hint="eastAsia" w:ascii="宋体" w:hAnsi="宋体" w:cs="宋体"/>
                <w:color w:val="auto"/>
                <w:sz w:val="20"/>
                <w:szCs w:val="20"/>
              </w:rPr>
              <w:t>）</w:t>
            </w:r>
            <w:r>
              <w:rPr>
                <w:rFonts w:ascii="宋体" w:hAnsi="宋体" w:cs="宋体"/>
                <w:color w:val="auto"/>
                <w:sz w:val="20"/>
                <w:szCs w:val="20"/>
              </w:rPr>
              <w:t>=</w:t>
            </w:r>
            <w:r>
              <w:rPr>
                <w:rFonts w:hint="eastAsia" w:ascii="宋体" w:hAnsi="宋体" w:cs="宋体"/>
                <w:color w:val="auto"/>
                <w:sz w:val="20"/>
                <w:szCs w:val="20"/>
              </w:rPr>
              <w:t>总分（</w:t>
            </w:r>
            <w:r>
              <w:rPr>
                <w:rFonts w:ascii="宋体" w:hAnsi="宋体" w:cs="宋体"/>
                <w:color w:val="auto"/>
                <w:sz w:val="20"/>
                <w:szCs w:val="20"/>
              </w:rPr>
              <w:t>100</w:t>
            </w:r>
            <w:r>
              <w:rPr>
                <w:rFonts w:hint="eastAsia" w:ascii="宋体" w:hAnsi="宋体" w:cs="宋体"/>
                <w:color w:val="auto"/>
                <w:sz w:val="20"/>
                <w:szCs w:val="20"/>
              </w:rPr>
              <w:t>）</w:t>
            </w:r>
            <w:r>
              <w:rPr>
                <w:rFonts w:ascii="宋体" w:cs="宋体"/>
                <w:color w:val="auto"/>
                <w:sz w:val="20"/>
                <w:szCs w:val="20"/>
              </w:rPr>
              <w:t>-</w:t>
            </w:r>
            <w:r>
              <w:rPr>
                <w:rFonts w:hint="eastAsia" w:ascii="宋体" w:hAnsi="宋体" w:cs="宋体"/>
                <w:color w:val="auto"/>
                <w:sz w:val="20"/>
                <w:szCs w:val="20"/>
              </w:rPr>
              <w:t>合计检查扣分（</w:t>
            </w:r>
            <w:r>
              <w:rPr>
                <w:rFonts w:ascii="宋体" w:hAnsi="宋体" w:cs="宋体"/>
                <w:color w:val="auto"/>
                <w:sz w:val="20"/>
                <w:szCs w:val="20"/>
              </w:rPr>
              <w:t xml:space="preserve">     </w:t>
            </w:r>
            <w:r>
              <w:rPr>
                <w:rFonts w:hint="eastAsia" w:ascii="宋体" w:hAnsi="宋体" w:cs="宋体"/>
                <w:color w:val="auto"/>
                <w:sz w:val="20"/>
                <w:szCs w:val="20"/>
              </w:rPr>
              <w:t>）</w:t>
            </w:r>
          </w:p>
        </w:tc>
      </w:tr>
    </w:tbl>
    <w:p>
      <w:pPr>
        <w:autoSpaceDE w:val="0"/>
        <w:autoSpaceDN w:val="0"/>
        <w:adjustRightInd w:val="0"/>
        <w:jc w:val="left"/>
        <w:rPr>
          <w:rFonts w:ascii="宋体"/>
          <w:color w:val="auto"/>
          <w:kern w:val="0"/>
          <w:sz w:val="18"/>
          <w:szCs w:val="18"/>
        </w:rPr>
      </w:pPr>
    </w:p>
    <w:p>
      <w:pPr>
        <w:autoSpaceDE w:val="0"/>
        <w:autoSpaceDN w:val="0"/>
        <w:adjustRightInd w:val="0"/>
        <w:spacing w:line="340" w:lineRule="exact"/>
        <w:ind w:left="-124" w:leftChars="-59" w:right="-126" w:rightChars="-60" w:firstLine="440" w:firstLineChars="200"/>
        <w:jc w:val="left"/>
        <w:textAlignment w:val="bottom"/>
        <w:rPr>
          <w:rFonts w:ascii="宋体"/>
          <w:color w:val="auto"/>
          <w:kern w:val="0"/>
          <w:sz w:val="22"/>
          <w:szCs w:val="22"/>
        </w:rPr>
      </w:pPr>
      <w:r>
        <w:rPr>
          <w:rFonts w:hint="eastAsia" w:ascii="宋体" w:hAnsi="宋体"/>
          <w:color w:val="auto"/>
          <w:kern w:val="0"/>
          <w:sz w:val="22"/>
          <w:szCs w:val="22"/>
        </w:rPr>
        <w:t>说明：１、甲方实行不定时、不定人检查，每月按百分制打分，分为好（</w:t>
      </w:r>
      <w:r>
        <w:rPr>
          <w:rFonts w:ascii="宋体" w:hAnsi="宋体"/>
          <w:color w:val="auto"/>
          <w:kern w:val="0"/>
          <w:sz w:val="22"/>
          <w:szCs w:val="22"/>
        </w:rPr>
        <w:t>100</w:t>
      </w:r>
      <w:r>
        <w:rPr>
          <w:rFonts w:hint="eastAsia" w:ascii="宋体" w:hAnsi="宋体"/>
          <w:color w:val="auto"/>
          <w:kern w:val="0"/>
          <w:sz w:val="22"/>
          <w:szCs w:val="22"/>
        </w:rPr>
        <w:t>分－</w:t>
      </w:r>
      <w:r>
        <w:rPr>
          <w:rFonts w:ascii="宋体" w:hAnsi="宋体"/>
          <w:color w:val="auto"/>
          <w:kern w:val="0"/>
          <w:sz w:val="22"/>
          <w:szCs w:val="22"/>
        </w:rPr>
        <w:t>90</w:t>
      </w:r>
      <w:r>
        <w:rPr>
          <w:rFonts w:hint="eastAsia" w:ascii="宋体" w:hAnsi="宋体"/>
          <w:color w:val="auto"/>
          <w:kern w:val="0"/>
          <w:sz w:val="22"/>
          <w:szCs w:val="22"/>
        </w:rPr>
        <w:t>分）、中（</w:t>
      </w:r>
      <w:r>
        <w:rPr>
          <w:rFonts w:ascii="宋体" w:hAnsi="宋体"/>
          <w:color w:val="auto"/>
          <w:kern w:val="0"/>
          <w:sz w:val="22"/>
          <w:szCs w:val="22"/>
        </w:rPr>
        <w:t>89</w:t>
      </w:r>
      <w:r>
        <w:rPr>
          <w:rFonts w:hint="eastAsia" w:ascii="宋体" w:hAnsi="宋体"/>
          <w:color w:val="auto"/>
          <w:kern w:val="0"/>
          <w:sz w:val="22"/>
          <w:szCs w:val="22"/>
        </w:rPr>
        <w:t>分－</w:t>
      </w:r>
      <w:r>
        <w:rPr>
          <w:rFonts w:ascii="宋体" w:hAnsi="宋体"/>
          <w:color w:val="auto"/>
          <w:kern w:val="0"/>
          <w:sz w:val="22"/>
          <w:szCs w:val="22"/>
        </w:rPr>
        <w:t>60</w:t>
      </w:r>
      <w:r>
        <w:rPr>
          <w:rFonts w:hint="eastAsia" w:ascii="宋体" w:hAnsi="宋体"/>
          <w:color w:val="auto"/>
          <w:kern w:val="0"/>
          <w:sz w:val="22"/>
          <w:szCs w:val="22"/>
        </w:rPr>
        <w:t>分）、差（</w:t>
      </w:r>
      <w:r>
        <w:rPr>
          <w:rFonts w:ascii="宋体" w:hAnsi="宋体"/>
          <w:color w:val="auto"/>
          <w:kern w:val="0"/>
          <w:sz w:val="22"/>
          <w:szCs w:val="22"/>
        </w:rPr>
        <w:t>60</w:t>
      </w:r>
      <w:r>
        <w:rPr>
          <w:rFonts w:hint="eastAsia" w:ascii="宋体" w:hAnsi="宋体"/>
          <w:color w:val="auto"/>
          <w:kern w:val="0"/>
          <w:sz w:val="22"/>
          <w:szCs w:val="22"/>
        </w:rPr>
        <w:t>分以下）三个档次。</w:t>
      </w:r>
    </w:p>
    <w:p>
      <w:pPr>
        <w:autoSpaceDE w:val="0"/>
        <w:autoSpaceDN w:val="0"/>
        <w:adjustRightInd w:val="0"/>
        <w:spacing w:line="340" w:lineRule="exact"/>
        <w:ind w:left="-124" w:leftChars="-59" w:right="-126" w:rightChars="-60" w:firstLine="990" w:firstLineChars="450"/>
        <w:jc w:val="left"/>
        <w:textAlignment w:val="bottom"/>
        <w:rPr>
          <w:rFonts w:ascii="宋体"/>
          <w:color w:val="auto"/>
          <w:kern w:val="0"/>
          <w:sz w:val="22"/>
          <w:szCs w:val="22"/>
        </w:rPr>
      </w:pPr>
      <w:r>
        <w:rPr>
          <w:rFonts w:hint="eastAsia" w:ascii="宋体" w:hAnsi="宋体"/>
          <w:color w:val="auto"/>
          <w:kern w:val="0"/>
          <w:sz w:val="22"/>
          <w:szCs w:val="22"/>
        </w:rPr>
        <w:t>２、得分属好的为达标，不扣减当月养护费；属中的，扣减养护费</w:t>
      </w:r>
      <w:r>
        <w:rPr>
          <w:rFonts w:ascii="宋体" w:hAnsi="宋体"/>
          <w:color w:val="auto"/>
          <w:kern w:val="0"/>
          <w:sz w:val="22"/>
          <w:szCs w:val="22"/>
        </w:rPr>
        <w:t>=</w:t>
      </w:r>
      <w:r>
        <w:rPr>
          <w:rFonts w:hint="eastAsia" w:ascii="宋体" w:hAnsi="宋体"/>
          <w:color w:val="auto"/>
          <w:kern w:val="0"/>
          <w:sz w:val="22"/>
          <w:szCs w:val="22"/>
        </w:rPr>
        <w:t>（</w:t>
      </w:r>
      <w:r>
        <w:rPr>
          <w:rFonts w:ascii="宋体" w:hAnsi="宋体"/>
          <w:color w:val="auto"/>
          <w:kern w:val="0"/>
          <w:sz w:val="22"/>
          <w:szCs w:val="22"/>
        </w:rPr>
        <w:t>90</w:t>
      </w:r>
      <w:r>
        <w:rPr>
          <w:rFonts w:hint="eastAsia" w:ascii="宋体" w:hAnsi="宋体"/>
          <w:color w:val="auto"/>
          <w:kern w:val="0"/>
          <w:sz w:val="22"/>
          <w:szCs w:val="22"/>
        </w:rPr>
        <w:t>分－得分）×</w:t>
      </w:r>
      <w:r>
        <w:rPr>
          <w:rFonts w:ascii="宋体" w:hAnsi="宋体"/>
          <w:color w:val="auto"/>
          <w:kern w:val="0"/>
          <w:sz w:val="22"/>
          <w:szCs w:val="22"/>
        </w:rPr>
        <w:t>2000</w:t>
      </w:r>
      <w:r>
        <w:rPr>
          <w:rFonts w:hint="eastAsia" w:ascii="宋体" w:hAnsi="宋体"/>
          <w:color w:val="auto"/>
          <w:kern w:val="0"/>
          <w:sz w:val="22"/>
          <w:szCs w:val="22"/>
        </w:rPr>
        <w:t>元；属差的，给予中止合同并对乙方处中标价</w:t>
      </w:r>
      <w:r>
        <w:rPr>
          <w:rFonts w:ascii="宋体" w:hAnsi="宋体"/>
          <w:color w:val="auto"/>
          <w:kern w:val="0"/>
          <w:sz w:val="22"/>
          <w:szCs w:val="22"/>
        </w:rPr>
        <w:t>3</w:t>
      </w:r>
      <w:r>
        <w:rPr>
          <w:rFonts w:hint="eastAsia" w:ascii="宋体" w:hAnsi="宋体"/>
          <w:color w:val="auto"/>
          <w:kern w:val="0"/>
          <w:sz w:val="22"/>
          <w:szCs w:val="22"/>
        </w:rPr>
        <w:t>％的罚款。</w:t>
      </w:r>
    </w:p>
    <w:p>
      <w:pPr>
        <w:autoSpaceDE w:val="0"/>
        <w:autoSpaceDN w:val="0"/>
        <w:adjustRightInd w:val="0"/>
        <w:spacing w:line="340" w:lineRule="exact"/>
        <w:jc w:val="left"/>
        <w:rPr>
          <w:rFonts w:ascii="宋体"/>
          <w:color w:val="auto"/>
          <w:kern w:val="0"/>
          <w:sz w:val="22"/>
          <w:szCs w:val="22"/>
        </w:rPr>
      </w:pPr>
    </w:p>
    <w:p>
      <w:pPr>
        <w:autoSpaceDE w:val="0"/>
        <w:autoSpaceDN w:val="0"/>
        <w:adjustRightInd w:val="0"/>
        <w:spacing w:line="340" w:lineRule="exact"/>
        <w:jc w:val="left"/>
        <w:rPr>
          <w:rFonts w:ascii="宋体"/>
          <w:color w:val="auto"/>
          <w:kern w:val="0"/>
          <w:sz w:val="22"/>
          <w:szCs w:val="22"/>
        </w:rPr>
      </w:pPr>
      <w:r>
        <w:rPr>
          <w:rFonts w:hint="eastAsia" w:ascii="宋体" w:hAnsi="宋体"/>
          <w:color w:val="auto"/>
          <w:kern w:val="0"/>
          <w:sz w:val="22"/>
          <w:szCs w:val="22"/>
        </w:rPr>
        <w:t>考核意见：</w:t>
      </w:r>
    </w:p>
    <w:p>
      <w:pPr>
        <w:autoSpaceDE w:val="0"/>
        <w:autoSpaceDN w:val="0"/>
        <w:adjustRightInd w:val="0"/>
        <w:spacing w:line="340" w:lineRule="exact"/>
        <w:jc w:val="left"/>
        <w:rPr>
          <w:rFonts w:ascii="宋体"/>
          <w:color w:val="auto"/>
          <w:kern w:val="0"/>
          <w:sz w:val="22"/>
          <w:szCs w:val="22"/>
        </w:rPr>
      </w:pPr>
    </w:p>
    <w:p>
      <w:pPr>
        <w:spacing w:line="340" w:lineRule="exact"/>
        <w:rPr>
          <w:rFonts w:ascii="宋体"/>
          <w:color w:val="auto"/>
          <w:sz w:val="22"/>
          <w:szCs w:val="22"/>
        </w:rPr>
      </w:pPr>
      <w:r>
        <w:rPr>
          <w:rFonts w:hint="eastAsia" w:ascii="宋体" w:hAnsi="宋体"/>
          <w:bCs/>
          <w:color w:val="auto"/>
          <w:kern w:val="0"/>
          <w:sz w:val="22"/>
          <w:szCs w:val="22"/>
        </w:rPr>
        <w:t>甲方代表（签名）：</w:t>
      </w:r>
      <w:r>
        <w:rPr>
          <w:rFonts w:ascii="宋体" w:hAnsi="宋体"/>
          <w:bCs/>
          <w:color w:val="auto"/>
          <w:kern w:val="0"/>
          <w:sz w:val="22"/>
          <w:szCs w:val="22"/>
        </w:rPr>
        <w:t xml:space="preserve">         </w:t>
      </w:r>
      <w:r>
        <w:rPr>
          <w:rFonts w:hint="eastAsia" w:ascii="宋体" w:hAnsi="宋体"/>
          <w:bCs/>
          <w:color w:val="auto"/>
          <w:kern w:val="0"/>
          <w:sz w:val="22"/>
          <w:szCs w:val="22"/>
        </w:rPr>
        <w:t>乙方代表（签名）：</w:t>
      </w:r>
      <w:r>
        <w:rPr>
          <w:rFonts w:ascii="宋体" w:hAnsi="宋体"/>
          <w:bCs/>
          <w:color w:val="auto"/>
          <w:kern w:val="0"/>
          <w:sz w:val="22"/>
          <w:szCs w:val="22"/>
        </w:rPr>
        <w:t xml:space="preserve">        </w:t>
      </w:r>
      <w:r>
        <w:rPr>
          <w:rFonts w:hint="eastAsia" w:ascii="宋体" w:hAnsi="宋体"/>
          <w:bCs/>
          <w:color w:val="auto"/>
          <w:kern w:val="0"/>
          <w:sz w:val="22"/>
          <w:szCs w:val="22"/>
        </w:rPr>
        <w:t>监督代表（签名）：</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fldChar w:fldCharType="begin"/>
    </w:r>
    <w:r>
      <w:rPr>
        <w:rStyle w:val="6"/>
      </w:rPr>
      <w:instrText xml:space="preserve"> PAGE </w:instrText>
    </w:r>
    <w:r>
      <w:fldChar w:fldCharType="separate"/>
    </w:r>
    <w:r>
      <w:rPr>
        <w:rStyle w:val="6"/>
      </w:rPr>
      <w:t>34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both"/>
      <w:rPr>
        <w:rFonts w:hint="eastAsia" w:eastAsia="宋体"/>
        <w:lang w:eastAsia="zh-CN"/>
      </w:rPr>
    </w:pPr>
    <w:r>
      <w:rPr>
        <w:rFonts w:hint="eastAsia"/>
        <w:color w:val="000000"/>
        <w:kern w:val="0"/>
        <w:szCs w:val="21"/>
      </w:rPr>
      <w:t>生态园城市桥梁经常性检查、定期检测及日常维护项目</w:t>
    </w:r>
    <w:r>
      <w:rPr>
        <w:color w:val="000000"/>
        <w:kern w:val="0"/>
        <w:szCs w:val="21"/>
      </w:rPr>
      <w:t xml:space="preserve">                         </w:t>
    </w:r>
    <w:r>
      <w:rPr>
        <w:rFonts w:hint="eastAsia" w:ascii="宋体" w:hAnsi="宋体"/>
        <w:lang w:eastAsia="zh-CN"/>
      </w:rPr>
      <w:t>441900-1-201807-0121205-0008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rPr>
        <w:rFonts w:ascii="宋体"/>
        <w:sz w:val="19"/>
        <w:szCs w:val="19"/>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F"/>
    <w:multiLevelType w:val="multilevel"/>
    <w:tmpl w:val="0000000F"/>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
    <w:nsid w:val="00000011"/>
    <w:multiLevelType w:val="multilevel"/>
    <w:tmpl w:val="00000011"/>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
    <w:nsid w:val="00000012"/>
    <w:multiLevelType w:val="multilevel"/>
    <w:tmpl w:val="00000012"/>
    <w:lvl w:ilvl="0" w:tentative="0">
      <w:start w:val="1"/>
      <w:numFmt w:val="decimal"/>
      <w:lvlText w:val="%1、"/>
      <w:lvlJc w:val="left"/>
      <w:pPr>
        <w:tabs>
          <w:tab w:val="left" w:pos="360"/>
        </w:tabs>
        <w:ind w:left="360"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
    <w:nsid w:val="00000013"/>
    <w:multiLevelType w:val="multilevel"/>
    <w:tmpl w:val="00000013"/>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4">
    <w:nsid w:val="00000014"/>
    <w:multiLevelType w:val="multilevel"/>
    <w:tmpl w:val="00000014"/>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0000016"/>
    <w:multiLevelType w:val="multilevel"/>
    <w:tmpl w:val="00000016"/>
    <w:lvl w:ilvl="0" w:tentative="0">
      <w:start w:val="1"/>
      <w:numFmt w:val="decimal"/>
      <w:lvlText w:val="%1、"/>
      <w:lvlJc w:val="left"/>
      <w:pPr>
        <w:tabs>
          <w:tab w:val="left" w:pos="360"/>
        </w:tabs>
        <w:ind w:left="360" w:hanging="360"/>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6">
    <w:nsid w:val="00000017"/>
    <w:multiLevelType w:val="multilevel"/>
    <w:tmpl w:val="00000017"/>
    <w:lvl w:ilvl="0" w:tentative="0">
      <w:start w:val="1"/>
      <w:numFmt w:val="decimal"/>
      <w:lvlText w:val="%1、"/>
      <w:lvlJc w:val="left"/>
      <w:pPr>
        <w:tabs>
          <w:tab w:val="left" w:pos="502"/>
        </w:tabs>
        <w:ind w:left="502" w:hanging="360"/>
      </w:pPr>
      <w:rPr>
        <w:rFonts w:hint="default"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330873B7"/>
    <w:multiLevelType w:val="multilevel"/>
    <w:tmpl w:val="330873B7"/>
    <w:lvl w:ilvl="0" w:tentative="0">
      <w:start w:val="2"/>
      <w:numFmt w:val="decimal"/>
      <w:lvlText w:val="%1、"/>
      <w:lvlJc w:val="left"/>
      <w:pPr>
        <w:ind w:left="360" w:hanging="36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6"/>
  </w:num>
  <w:num w:numId="2">
    <w:abstractNumId w:val="2"/>
  </w:num>
  <w:num w:numId="3">
    <w:abstractNumId w:val="7"/>
  </w:num>
  <w:num w:numId="4">
    <w:abstractNumId w:val="4"/>
  </w:num>
  <w:num w:numId="5">
    <w:abstractNumId w:val="0"/>
  </w:num>
  <w:num w:numId="6">
    <w:abstractNumId w:val="3"/>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704ADF"/>
    <w:rsid w:val="5E704ADF"/>
    <w:rsid w:val="6D5350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9"/>
    <w:pPr>
      <w:keepNext/>
      <w:keepLines/>
      <w:spacing w:before="340" w:after="330" w:line="480" w:lineRule="auto"/>
      <w:jc w:val="center"/>
      <w:outlineLvl w:val="0"/>
    </w:pPr>
    <w:rPr>
      <w:b/>
      <w:bCs/>
      <w:kern w:val="44"/>
      <w:sz w:val="52"/>
      <w:szCs w:val="44"/>
    </w:rPr>
  </w:style>
  <w:style w:type="character" w:default="1" w:styleId="5">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3">
    <w:name w:val="footer"/>
    <w:basedOn w:val="1"/>
    <w:uiPriority w:val="99"/>
    <w:pPr>
      <w:tabs>
        <w:tab w:val="center" w:pos="4153"/>
        <w:tab w:val="right" w:pos="8306"/>
      </w:tabs>
      <w:snapToGrid w:val="0"/>
      <w:jc w:val="left"/>
    </w:pPr>
    <w:rPr>
      <w:sz w:val="18"/>
      <w:szCs w:val="20"/>
    </w:rPr>
  </w:style>
  <w:style w:type="paragraph" w:styleId="4">
    <w:name w:val="header"/>
    <w:basedOn w:val="1"/>
    <w:uiPriority w:val="99"/>
    <w:pPr>
      <w:pBdr>
        <w:bottom w:val="single" w:color="auto" w:sz="6" w:space="1"/>
      </w:pBdr>
      <w:tabs>
        <w:tab w:val="center" w:pos="4153"/>
        <w:tab w:val="right" w:pos="8306"/>
      </w:tabs>
      <w:snapToGrid w:val="0"/>
      <w:jc w:val="center"/>
    </w:pPr>
    <w:rPr>
      <w:sz w:val="18"/>
      <w:szCs w:val="20"/>
    </w:rPr>
  </w:style>
  <w:style w:type="character" w:styleId="6">
    <w:name w:val="page number"/>
    <w:basedOn w:val="5"/>
    <w:uiPriority w:val="99"/>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Pages>1</Pages>
  <Words>0</Words>
  <Characters>0</Characters>
  <Lines>0</Lines>
  <Paragraphs>0</Paragraphs>
  <TotalTime>0</TotalTime>
  <ScaleCrop>false</ScaleCrop>
  <LinksUpToDate>false</LinksUpToDate>
  <CharactersWithSpaces>0</CharactersWithSpaces>
  <Application>WPS Office_10.1.0.7469_F1E327BC-269C-435d-A152-05C5408002CA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2018-08-01T02:56:00Z</dcterms:created>
  <dc:creator>Administrator</dc:creator>
  <cp:lastModifiedBy>Administrator</cp:lastModifiedBy>
  <dcterms:modified xsi:type="dcterms:W3CDTF">2018-08-01T02:57:15Z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2052-10.1.0.7469</vt:lpwstr>
  </property>
</Properties>
</file>